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ENTSCHEIDUNGSGRUNDLAGE  ·  5. NOVEMBER 2026</w:t>
      </w:r>
    </w:p>
    <w:p>
      <w:pPr>
        <w:pStyle w:val="Title"/>
      </w:pPr>
      <w:r>
        <w:t>Vier Vorschläge für Ebene Eins</w:t>
      </w:r>
    </w:p>
    <w:p>
      <w:pPr>
        <w:pStyle w:val="Subtitle"/>
      </w:pPr>
      <w:r>
        <w:t>Freier dritter Raum und die Zukunft des Ausstellungszugangs</w:t>
      </w:r>
    </w:p>
    <w:p>
      <w:r>
        <w:t>Alle vier Modelle ermöglichen einen kostenlosen dritten Raum auf Ebene 1. Die Entscheidung betrifft den Zugang zu den übrigen Ausstellungen, die Finanzierung und den dafür nötigen Betrieb. Die bestehenden Aufsichten bleiben in jedem Modell erforderlich.</w:t>
      </w:r>
    </w:p>
    <w:p>
      <w:pPr>
        <w:pStyle w:val="Heading2"/>
      </w:pPr>
      <w:r>
        <w:t>Worum die Entscheidung geht</w:t>
      </w:r>
    </w:p>
    <w:tbl>
      <w:tblPr>
        <w:tblW w:type="auto" w:w="0"/>
        <w:tblLayout w:type="fixed"/>
        <w:tblLook w:firstColumn="1" w:firstRow="1" w:lastColumn="0" w:lastRow="0" w:noHBand="0" w:noVBand="1" w:val="04A0"/>
      </w:tblPr>
      <w:tblGrid>
        <w:gridCol w:w="1871"/>
        <w:gridCol w:w="3572"/>
        <w:gridCol w:w="4309"/>
      </w:tblGrid>
      <w:tr>
        <w:trPr>
          <w:tblHeader/>
          <w:cantSplit/>
        </w:trPr>
        <w:tc>
          <w:tcPr>
            <w:tcW w:type="dxa" w:w="1871"/>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Modell</w:t>
            </w:r>
          </w:p>
        </w:tc>
        <w:tc>
          <w:tcPr>
            <w:tcW w:type="dxa" w:w="3572"/>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Zugang oben und HKS</w:t>
            </w:r>
          </w:p>
        </w:tc>
        <w:tc>
          <w:tcPr>
            <w:tcW w:type="dxa" w:w="4309"/>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Entscheidender Aufwand</w:t>
            </w:r>
          </w:p>
        </w:tc>
      </w:tr>
      <w:tr>
        <w:trPr>
          <w:cantSplit/>
        </w:trPr>
        <w:tc>
          <w:tcPr>
            <w:tcW w:type="dxa" w:w="1871"/>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1 Personal</w:t>
            </w:r>
          </w:p>
        </w:tc>
        <w:tc>
          <w:tcPr>
            <w:tcW w:type="dxa" w:w="3572"/>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Ticketprüfung durch Menschen</w:t>
            </w:r>
          </w:p>
        </w:tc>
        <w:tc>
          <w:tcPr>
            <w:tcW w:type="dxa" w:w="4309"/>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Drei zusätzliche Posten für E2–E4</w:t>
            </w:r>
          </w:p>
        </w:tc>
      </w:tr>
      <w:tr>
        <w:trPr>
          <w:cantSplit/>
        </w:trPr>
        <w:tc>
          <w:tcPr>
            <w:tcW w:type="dxa" w:w="1871"/>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2 Automatik</w:t>
            </w:r>
          </w:p>
        </w:tc>
        <w:tc>
          <w:tcPr>
            <w:tcW w:type="dxa" w:w="3572"/>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Ticketprüfung durch Technik</w:t>
            </w:r>
          </w:p>
        </w:tc>
        <w:tc>
          <w:tcPr>
            <w:tcW w:type="dxa" w:w="4309"/>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Investition, Integration und Restaufwand</w:t>
            </w:r>
          </w:p>
        </w:tc>
      </w:tr>
      <w:tr>
        <w:trPr>
          <w:cantSplit/>
        </w:trPr>
        <w:tc>
          <w:tcPr>
            <w:tcW w:type="dxa" w:w="1871"/>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3 Kostenlos</w:t>
            </w:r>
          </w:p>
        </w:tc>
        <w:tc>
          <w:tcPr>
            <w:tcW w:type="dxa" w:w="3572"/>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Kein Eintrittspreis</w:t>
            </w:r>
          </w:p>
        </w:tc>
        <w:tc>
          <w:tcPr>
            <w:tcW w:type="dxa" w:w="4309"/>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Entfallende Erträge verlässlich finanzieren</w:t>
            </w:r>
          </w:p>
        </w:tc>
      </w:tr>
      <w:tr>
        <w:trPr>
          <w:cantSplit/>
        </w:trPr>
        <w:tc>
          <w:tcPr>
            <w:tcW w:type="dxa" w:w="1871"/>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4 Vertrauen</w:t>
            </w:r>
          </w:p>
        </w:tc>
        <w:tc>
          <w:tcPr>
            <w:tcW w:type="dxa" w:w="3572"/>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Frei, Beitrag freiwillig</w:t>
            </w:r>
          </w:p>
        </w:tc>
        <w:tc>
          <w:tcPr>
            <w:tcW w:type="dxa" w:w="4309"/>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Schwankende Beiträge und sorgfältige Vermittlung</w:t>
            </w:r>
          </w:p>
        </w:tc>
      </w:tr>
    </w:tbl>
    <w:p>
      <w:pPr>
        <w:spacing w:after="0"/>
      </w:pPr>
    </w:p>
    <w:p>
      <w:pPr>
        <w:pStyle w:val="Heading2"/>
      </w:pPr>
      <w:r>
        <w:t>Vorgeschlagener nächster Schritt</w:t>
      </w:r>
    </w:p>
    <w:p>
      <w:r>
        <w:t>Zuerst aktuelle Nettoerlöse und Personalverfügbarkeit klären. V1 liefert eine nachvollziehbare Personalreferenz; V2 braucht einen räumlichen und technischen Machbarkeitstest. Für V3 und V4 entscheidet eine finanzierte Erprobung über die Tragfähigkeit. Noch keine Variante ist als günstigste oder als beschlossen belegt.</w:t>
      </w:r>
    </w:p>
    <w:p>
      <w:r>
        <w:t>Der zusätzliche Nutzen des dritten Raums soll durch Begegnung, Pop-ups und kurze Alltagsbesuche entstehen. Längere Öffnung und neue Einnahmeangebote werden getrennt ausgewertet, damit ihre Wirkung erkennbar bleibt.</w:t>
      </w:r>
    </w:p>
    <w:p>
      <w:pPr>
        <w:pStyle w:val="Heading2"/>
      </w:pPr>
      <w:r>
        <w:t>So ist das Dokument zu lesen</w:t>
      </w:r>
    </w:p>
    <w:p>
      <w:r>
        <w:t>Die nächsten Seiten beantworten die ZZPA-Fragen und die sechs Felder der Value Proposition Canvas für jedes Modell. Eigene Ergänzungen sind als Vorschlag oder Annahme beschrieben. Rechenbeispiele sind keine MKB-Prognosen. Grafiken zeigen nachvollziehbare Grössen, keine erfundenen Bewertungspunkte.</w:t>
      </w:r>
    </w:p>
    <w:p>
      <w:hyperlink r:id="rId11">
        <w:r>
          <w:rPr>
            <w:color w:val="000000"/>
          </w:rPr>
          <w:t>Interaktive Arbeitsfassung und Medien öffnen</w:t>
        </w:r>
      </w:hyperlink>
    </w:p>
    <w:p>
      <w:r>
        <w:br w:type="page"/>
      </w:r>
    </w:p>
    <w:p>
      <w:pPr>
        <w:pStyle w:val="Subtitle"/>
      </w:pPr>
      <w:r>
        <w:t>PLANUNGSGRUNDLAGE</w:t>
      </w:r>
    </w:p>
    <w:p>
      <w:pPr>
        <w:pStyle w:val="Heading1"/>
      </w:pPr>
      <w:r>
        <w:t>Zeit Preise und gemeinsamer Rahmen</w:t>
      </w:r>
    </w:p>
    <w:p>
      <w:pPr>
        <w:spacing w:after="140"/>
      </w:pPr>
      <w:r>
        <w:rPr>
          <w:b/>
        </w:rPr>
        <w:t xml:space="preserve">Bestand aus dem Gespräch  </w:t>
      </w:r>
      <w:r>
        <w:t>EG mit Kasse und Shop; vier Ausstellungsebenen; auf jeder Ebene führt Lift und Treppe in einen gemeinsamen Vorraum. Vier Aufsichtsfunktionen als Grundmodell, zeitweise zusätzliche Aufsichten. Die Brandschutztüren stehen normalerweise offen und schliessen bei Alarm. Die Abschrift weist verbleibende Lücken aus.</w:t>
      </w:r>
    </w:p>
    <w:p>
      <w:pPr>
        <w:spacing w:after="140"/>
      </w:pPr>
      <w:r>
        <w:rPr>
          <w:b/>
        </w:rPr>
        <w:t xml:space="preserve">Heutige veröffentlichte Regeln  </w:t>
      </w:r>
      <w:r>
        <w:t>Haupthaus Di–So 10–17 Uhr, erster Mittwoch bis 20 Uhr. Der reguläre Erwachsenentarif beträgt CHF 16. Ermässigungen, freie Berechtigungen und freie Zeitfenster bestehen bereits. Diese Angaben wurden am 5.11.2026 geprüft. [S1]</w:t>
      </w:r>
    </w:p>
    <w:p>
      <w:pPr>
        <w:spacing w:after="140"/>
      </w:pPr>
      <w:r>
        <w:rPr>
          <w:b/>
        </w:rPr>
        <w:t xml:space="preserve">Vorgeschlagener Zeitpilot  </w:t>
      </w:r>
      <w:r>
        <w:t>E2–E4 zunächst unverändert; E1 inklusive Pop-up an zwei ausgewählten Abenden bis 20 Uhr erproben. Zielgruppen sind Nachbarschaft, Berufstätige, junge Erwachsene und spontane Kurzbesuche. Bestehende Abendstunden bei der Zusatzrechnung abziehen. Montag bleibt vorerst geschlossen.</w:t>
      </w:r>
    </w:p>
    <w:p>
      <w:pPr>
        <w:pStyle w:val="Heading2"/>
      </w:pPr>
      <w:r>
        <w:t>Tarifvorschlag zur Diskussion</w:t>
      </w:r>
    </w:p>
    <w:tbl>
      <w:tblPr>
        <w:tblW w:type="auto" w:w="0"/>
        <w:tblLayout w:type="fixed"/>
        <w:tblLook w:firstColumn="1" w:firstRow="1" w:lastColumn="0" w:lastRow="0" w:noHBand="0" w:noVBand="1" w:val="04A0"/>
      </w:tblPr>
      <w:tblGrid>
        <w:gridCol w:w="3118"/>
        <w:gridCol w:w="2268"/>
        <w:gridCol w:w="2268"/>
        <w:gridCol w:w="2098"/>
      </w:tblGrid>
      <w:tr>
        <w:trPr>
          <w:tblHeader/>
          <w:cantSplit/>
        </w:trPr>
        <w:tc>
          <w:tcPr>
            <w:tcW w:type="dxa" w:w="311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Angebot</w:t>
            </w:r>
          </w:p>
        </w:tc>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V1 und V2 regulär</w:t>
            </w:r>
          </w:p>
        </w:tc>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V1 und V2 ermässigt</w:t>
            </w:r>
          </w:p>
        </w:tc>
        <w:tc>
          <w:tcPr>
            <w:tcW w:type="dxa" w:w="209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V3 und V4</w:t>
            </w:r>
          </w:p>
        </w:tc>
      </w:tr>
      <w:tr>
        <w:trPr>
          <w:cantSplit/>
        </w:trPr>
        <w:tc>
          <w:tcPr>
            <w:tcW w:type="dxa" w:w="311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E1 und Pop-up</w:t>
            </w:r>
          </w:p>
        </w:tc>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CHF 0</w:t>
            </w:r>
          </w:p>
        </w:tc>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CHF 0</w:t>
            </w:r>
          </w:p>
        </w:tc>
        <w:tc>
          <w:tcPr>
            <w:tcW w:type="dxa" w:w="209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CHF 0</w:t>
            </w:r>
          </w:p>
        </w:tc>
      </w:tr>
      <w:tr>
        <w:trPr>
          <w:cantSplit/>
        </w:trPr>
        <w:tc>
          <w:tcPr>
            <w:tcW w:type="dxa" w:w="311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Drei obere Ebenen</w:t>
            </w:r>
          </w:p>
        </w:tc>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CHF 16</w:t>
            </w:r>
          </w:p>
        </w:tc>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CHF 5</w:t>
            </w:r>
          </w:p>
        </w:tc>
        <w:tc>
          <w:tcPr>
            <w:tcW w:type="dxa" w:w="209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CHF 0</w:t>
            </w:r>
          </w:p>
        </w:tc>
      </w:tr>
      <w:tr>
        <w:trPr>
          <w:cantSplit/>
        </w:trPr>
        <w:tc>
          <w:tcPr>
            <w:tcW w:type="dxa" w:w="311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Zwei obere Ebenen</w:t>
            </w:r>
          </w:p>
        </w:tc>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CHF 12</w:t>
            </w:r>
          </w:p>
        </w:tc>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CHF 4</w:t>
            </w:r>
          </w:p>
        </w:tc>
        <w:tc>
          <w:tcPr>
            <w:tcW w:type="dxa" w:w="209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CHF 0</w:t>
            </w:r>
          </w:p>
        </w:tc>
      </w:tr>
      <w:tr>
        <w:trPr>
          <w:cantSplit/>
        </w:trPr>
        <w:tc>
          <w:tcPr>
            <w:tcW w:type="dxa" w:w="311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Eine obere Ebene</w:t>
            </w:r>
          </w:p>
        </w:tc>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CHF 8</w:t>
            </w:r>
          </w:p>
        </w:tc>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CHF 3</w:t>
            </w:r>
          </w:p>
        </w:tc>
        <w:tc>
          <w:tcPr>
            <w:tcW w:type="dxa" w:w="209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CHF 0</w:t>
            </w:r>
          </w:p>
        </w:tc>
      </w:tr>
      <w:tr>
        <w:trPr>
          <w:cantSplit/>
        </w:trPr>
        <w:tc>
          <w:tcPr>
            <w:tcW w:type="dxa" w:w="311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Nur Winterausstellung HKS</w:t>
            </w:r>
          </w:p>
        </w:tc>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CHF 6</w:t>
            </w:r>
          </w:p>
        </w:tc>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CHF 3</w:t>
            </w:r>
          </w:p>
        </w:tc>
        <w:tc>
          <w:tcPr>
            <w:tcW w:type="dxa" w:w="209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CHF 0</w:t>
            </w:r>
          </w:p>
        </w:tc>
      </w:tr>
    </w:tbl>
    <w:p>
      <w:pPr>
        <w:spacing w:after="0"/>
      </w:pPr>
    </w:p>
    <w:p>
      <w:r>
        <w:t>Teilpreise und HKS-Preis sind neue Arbeitsvorschläge, weder genehmigt noch aus Kostendaten optimiert. Bestehende Gratisberechtigungen erhalten. Vorschlag: HKS bei geöffnetem Hauptbereich im Hauptticket einschliessen; HKS allein bleibt separat buchbar. Kein Zwang zum Kauf des ganzen Hauses. Bei V4 wird nur freiwillig beigetragen.</w:t>
      </w:r>
    </w:p>
    <w:p>
      <w:r>
        <w:t>Ein bezahlter HKS innerhalb des freien E1 benötigt eine separat erreichbare Grenze. Ohne kontrollierbare Raumabtrennung oder tragfähige Betreuung ist diese Teilpreisidee anzupassen. Der kostenlose Pop-up-Bereich bleibt davon unabhängig. Zwei oder drei geöffnete Ebenen müssen auf der Tagesinformation sichtbar sein.</w:t>
      </w:r>
    </w:p>
    <w:p>
      <w:r>
        <w:br w:type="page"/>
      </w:r>
    </w:p>
    <w:p>
      <w:pPr>
        <w:pStyle w:val="Subtitle"/>
      </w:pPr>
      <w:r>
        <w:t>VARIANTE 1  ·  Persönlicher Empfang an drei Eingängen</w:t>
      </w:r>
    </w:p>
    <w:p>
      <w:pPr>
        <w:pStyle w:val="Heading1"/>
      </w:pPr>
      <w:r>
        <w:t>Personelle Zutrittskontrolle</w:t>
      </w:r>
    </w:p>
    <w:p>
      <w:r>
        <w:t>E1 und Pop-up sind frei. Eine zusätzliche Kontrollperson prüft auf jeder der Ebenen E2 bis E4 die Tickets. Die vorhandenen Aufsichten bleiben für Information und Objektschutz zuständig.</w:t>
      </w:r>
    </w:p>
    <w:p>
      <w:pPr>
        <w:pStyle w:val="Heading2"/>
      </w:pPr>
      <w:r>
        <w:t>Value Proposition Canvas</w:t>
      </w:r>
    </w:p>
    <w:p>
      <w:pPr>
        <w:spacing w:after="140"/>
      </w:pPr>
      <w:r>
        <w:rPr>
          <w:b/>
        </w:rPr>
        <w:t xml:space="preserve">Bedürfnisse und Aufgaben  </w:t>
      </w:r>
      <w:r>
        <w:t>Gäste möchten E1 spontan nutzen, Ausstellungen sicher finden und bei Tickets, Gruppen oder Freieintritten direkt Hilfe erhalten. Familien und Erstbesuchende brauchen verständliche Regeln.</w:t>
      </w:r>
    </w:p>
    <w:p>
      <w:pPr>
        <w:spacing w:after="140"/>
      </w:pPr>
      <w:r>
        <w:rPr>
          <w:b/>
        </w:rPr>
        <w:t xml:space="preserve">Hindernisse und Probleme  </w:t>
      </w:r>
      <w:r>
        <w:t>Drei Kontrollen können Wartezeiten, wiederholtes Vorzeigen und Unsicherheit beim Ebenenwechsel erzeugen. Ein kostenloser E1-Besuch darf sich nicht wie ein kontrollierter Sonderfall anfühlen.</w:t>
      </w:r>
    </w:p>
    <w:p>
      <w:pPr>
        <w:spacing w:after="140"/>
      </w:pPr>
      <w:r>
        <w:rPr>
          <w:b/>
        </w:rPr>
        <w:t xml:space="preserve">Gewünschter Nutzen  </w:t>
      </w:r>
      <w:r>
        <w:t>Ein nachvollziehbarer Preis, freundliche Orientierung und verlässliche Unterstützung. Menschen ohne Smartphone können gleichwertig teilnehmen.</w:t>
      </w:r>
    </w:p>
    <w:p>
      <w:pPr>
        <w:spacing w:after="140"/>
      </w:pPr>
      <w:r>
        <w:rPr>
          <w:b/>
        </w:rPr>
        <w:t xml:space="preserve">Leistungen  </w:t>
      </w:r>
      <w:r>
        <w:t>Freier dritter Raum mit Pop-ups; bezahlter Ausstellungsbereich; persönliche Ticketprüfung im gemeinsamen Vorraum von Lift und Treppe; einheitliche Regel für Gruppen und Wiedereintritt.</w:t>
      </w:r>
    </w:p>
    <w:p>
      <w:pPr>
        <w:spacing w:after="140"/>
      </w:pPr>
      <w:r>
        <w:rPr>
          <w:b/>
        </w:rPr>
        <w:t xml:space="preserve">Probleme vermindern  </w:t>
      </w:r>
      <w:r>
        <w:t>Bereits im EG erklären, was gratis ist. Papier und digitale Tickets akzeptieren, Mehrfachvorzeigen kurz halten und Warteschlangen aus Lift-, Treppen- und Fluchtflächen führen.</w:t>
      </w:r>
    </w:p>
    <w:p>
      <w:pPr>
        <w:spacing w:after="140"/>
      </w:pPr>
      <w:r>
        <w:rPr>
          <w:b/>
        </w:rPr>
        <w:t xml:space="preserve">Zusätzlichen Nutzen schaffen  </w:t>
      </w:r>
      <w:r>
        <w:t>Die Begrüssung kann auf aktuelle Ausstellungen und Veranstaltungen hinweisen. Ein gemeinsamer Informationsstandard verbindet die Ebenen, ohne den Gästen etwas verkaufen zu müssen.</w:t>
      </w:r>
    </w:p>
    <w:p>
      <w:pPr>
        <w:pStyle w:val="Heading2"/>
      </w:pPr>
      <w:r>
        <w:t>Zeit Preise und Nutzung</w:t>
      </w:r>
    </w:p>
    <w:p>
      <w:pPr>
        <w:spacing w:after="140"/>
      </w:pPr>
      <w:r>
        <w:rPr>
          <w:b/>
        </w:rPr>
        <w:t xml:space="preserve">Zeit  </w:t>
      </w:r>
      <w:r>
        <w:t>Vorschlag: Ausstellungen Di–So 10–17 Uhr; E1 anfangs an zwei Abenden bis 20 Uhr testen. Beschäftigte, Nachbarschaft und junge Erwachsene auch nach Arbeit oder Ausbildung erreichen. Bestehenden langen Mittwoch anrechnen.</w:t>
      </w:r>
    </w:p>
    <w:p>
      <w:pPr>
        <w:spacing w:after="140"/>
      </w:pPr>
      <w:r>
        <w:rPr>
          <w:b/>
        </w:rPr>
        <w:t xml:space="preserve">Preise  </w:t>
      </w:r>
      <w:r>
        <w:t>Tarifvorschlag für V1 und V2: drei bezahlte Ebenen CHF 16, zwei CHF 12, eine CHF 8; HKS allein CHF 6. Ermässigungen und freie Berechtigungen erhalten. Noch kein beschlossener Tarif.</w:t>
      </w:r>
    </w:p>
    <w:p>
      <w:r>
        <w:br w:type="page"/>
      </w:r>
    </w:p>
    <w:p>
      <w:pPr>
        <w:pStyle w:val="Subtitle"/>
      </w:pPr>
      <w:r>
        <w:t>VARIANTE 1</w:t>
      </w:r>
    </w:p>
    <w:p>
      <w:pPr>
        <w:pStyle w:val="Heading1"/>
      </w:pPr>
      <w:r>
        <w:t>Betrieb und Umsetzung</w:t>
      </w:r>
    </w:p>
    <w:p>
      <w:pPr>
        <w:spacing w:after="140"/>
      </w:pPr>
      <w:r>
        <w:rPr>
          <w:b/>
        </w:rPr>
        <w:t xml:space="preserve">Ablauf und Personal  </w:t>
      </w:r>
      <w:r>
        <w:t>Die Kasse verkauft Berechtigungen für die tatsächlich geöffneten Bereiche. Die Kontrollpersonen helfen bei ungültigen Tickets und Gruppen. Die Aufsichten werden nicht nebenbei zur Ticketkontrolle verpflichtet. Für drei voll geöffnete Ebenen werden drei zusätzliche Posten dienstplanmässig abgedeckt.</w:t>
      </w:r>
    </w:p>
    <w:p>
      <w:pPr>
        <w:spacing w:after="140"/>
      </w:pPr>
      <w:r>
        <w:rPr>
          <w:b/>
        </w:rPr>
        <w:t xml:space="preserve">Teilöffnung und HKS  </w:t>
      </w:r>
      <w:r>
        <w:t>Sind nur zwei oder eine bezahlte Ebene geöffnet, sinkt der Bedarf für deren Kontrollen auf zwei beziehungsweise einen Posten. Dies ist keine automatische Reduktion der erforderlichen Ausstellungsaufsicht. Eine bezahlte Winterausstellung im Hedi Keller-Saal benötigt gegebenenfalls einen weiteren eigenen Kontrollort; dessen Stunden sind zusätzlich zu kalkulieren.</w:t>
      </w:r>
    </w:p>
    <w:p>
      <w:pPr>
        <w:spacing w:after="140"/>
      </w:pPr>
      <w:r>
        <w:rPr>
          <w:b/>
        </w:rPr>
        <w:t xml:space="preserve">Abendbetrieb  </w:t>
      </w:r>
      <w:r>
        <w:t>Zwei Abende mit je drei Zusatzstunden benötigen pro gleichzeitig eingesetzter Person sechs Stunden wöchentlich, nominal 14,3 Stellenprozente. Das Angebot umfasst zunächst nur E1. Die geschlossenen Ausstellungen werden eindeutig abgegrenzt, ohne Rückwege zu versperren.</w:t>
      </w:r>
    </w:p>
    <w:p>
      <w:pPr>
        <w:spacing w:after="140"/>
      </w:pPr>
      <w:r>
        <w:rPr>
          <w:b/>
        </w:rPr>
        <w:t xml:space="preserve">Entscheid und Pilot  </w:t>
      </w:r>
      <w:r>
        <w:t>Geeignet, wenn persönliche Begleitung gewünscht und die dauerhafte Finanzierung zusätzlicher Dienste tragbar ist. Vor einem Entscheid einen repräsentativen Dienstplan mit Ablösung erstellen und Wartesituationen sowie Gruppenabläufe beobachten.</w:t>
      </w:r>
    </w:p>
    <w:p>
      <w:pPr>
        <w:pStyle w:val="Heading2"/>
      </w:pPr>
      <w:r>
        <w:t>Zugänge Zählung und Ressourcen</w:t>
      </w:r>
    </w:p>
    <w:p>
      <w:pPr>
        <w:spacing w:after="140"/>
      </w:pPr>
      <w:r>
        <w:rPr>
          <w:b/>
        </w:rPr>
        <w:t xml:space="preserve">Zugänge und Zählung  </w:t>
      </w:r>
      <w:r>
        <w:t>Je ein Kontrollort E2–E4. Ein kostenpflichtiger HKS braucht eine eigene, zeitweise Kontrolle ausserhalb des freien E1-Wegs. Richtungszähler und Stichproben trennen Haus-, E1- und Ausstellungsnutzung.</w:t>
      </w:r>
    </w:p>
    <w:p>
      <w:pPr>
        <w:spacing w:after="140"/>
      </w:pPr>
      <w:r>
        <w:rPr>
          <w:b/>
        </w:rPr>
        <w:t xml:space="preserve">Aufsicht und Ressourcen  </w:t>
      </w:r>
      <w:r>
        <w:t>Drei Zusatzposten bedeuten 126 Besetzungsstunden pro Woche, nominal 300 Stellenprozente bei 42 Stunden. Pausen, Ausfälle und ein möglicher HKS-Posten kommen hinzu; Reinigung, Kasse und Schliessdienst separat planen.</w:t>
      </w:r>
    </w:p>
    <w:p>
      <w:r>
        <w:drawing>
          <wp:inline xmlns:a="http://schemas.openxmlformats.org/drawingml/2006/main" xmlns:pic="http://schemas.openxmlformats.org/drawingml/2006/picture">
            <wp:extent cx="6120000" cy="1997053"/>
            <wp:docPr id="1" name="Picture 1"/>
            <wp:cNvGraphicFramePr>
              <a:graphicFrameLocks noChangeAspect="1"/>
            </wp:cNvGraphicFramePr>
            <a:graphic>
              <a:graphicData uri="http://schemas.openxmlformats.org/drawingml/2006/picture">
                <pic:pic>
                  <pic:nvPicPr>
                    <pic:cNvPr id="0" name="personal.png"/>
                    <pic:cNvPicPr/>
                  </pic:nvPicPr>
                  <pic:blipFill>
                    <a:blip r:embed="rId12"/>
                    <a:stretch>
                      <a:fillRect/>
                    </a:stretch>
                  </pic:blipFill>
                  <pic:spPr>
                    <a:xfrm>
                      <a:off x="0" y="0"/>
                      <a:ext cx="6120000" cy="1997053"/>
                    </a:xfrm>
                    <a:prstGeom prst="rect"/>
                  </pic:spPr>
                </pic:pic>
              </a:graphicData>
            </a:graphic>
          </wp:inline>
        </w:drawing>
      </w:r>
    </w:p>
    <w:p>
      <w:pPr>
        <w:pStyle w:val="Caption"/>
        <w:spacing w:after="160"/>
      </w:pPr>
      <w:r>
        <w:t>Eigene Berechnung. Nur Öffnungsabdeckung; Reserve, Pausen und Sonderaufgaben fehlen. Sechs Abende sind eine Sensitivität, vorgeschlagen sind zunächst zwei.</w:t>
      </w:r>
    </w:p>
    <w:p>
      <w:r>
        <w:br w:type="page"/>
      </w:r>
    </w:p>
    <w:p>
      <w:pPr>
        <w:pStyle w:val="Subtitle"/>
      </w:pPr>
      <w:r>
        <w:t>VARIANTE 2  ·  Tickets scannen und selbstständig eintreten</w:t>
      </w:r>
    </w:p>
    <w:p>
      <w:pPr>
        <w:pStyle w:val="Heading1"/>
      </w:pPr>
      <w:r>
        <w:t>Automatische Zutrittskontrolle</w:t>
      </w:r>
    </w:p>
    <w:p>
      <w:r>
        <w:t>Separate, schwellenlose Sensordurchgänge kontrollieren E2 bis E4. Die vorhandenen Brandschutztüren bleiben im Alltag offen und behalten ihre Alarmfunktion. Ziel sind vermiedene zusätzliche feste Kontrollposten; Unterstützung bleibt nötig.</w:t>
      </w:r>
    </w:p>
    <w:p>
      <w:pPr>
        <w:pStyle w:val="Heading2"/>
      </w:pPr>
      <w:r>
        <w:t>Value Proposition Canvas</w:t>
      </w:r>
    </w:p>
    <w:p>
      <w:pPr>
        <w:spacing w:after="140"/>
      </w:pPr>
      <w:r>
        <w:rPr>
          <w:b/>
        </w:rPr>
        <w:t xml:space="preserve">Bedürfnisse und Aufgaben  </w:t>
      </w:r>
      <w:r>
        <w:t>Gäste möchten selbstständig zwischen den Ebenen wechseln, ein Papier- oder Smartphone-Ticket einfach nutzen und mit Rollstuhl, Rollator, Kinderwagen oder Begleitung denselben Weg nehmen.</w:t>
      </w:r>
    </w:p>
    <w:p>
      <w:pPr>
        <w:spacing w:after="140"/>
      </w:pPr>
      <w:r>
        <w:rPr>
          <w:b/>
        </w:rPr>
        <w:t xml:space="preserve">Hindernisse und Probleme  </w:t>
      </w:r>
      <w:r>
        <w:t>Unlesbare Codes, enge Durchgänge, zu kurze Öffnungszeiten der Flügel und unklare Fehlermeldungen verursachen Stress. Eine starre Sperrlogik kann einen normalen Rundgang blockieren.</w:t>
      </w:r>
    </w:p>
    <w:p>
      <w:pPr>
        <w:spacing w:after="140"/>
      </w:pPr>
      <w:r>
        <w:rPr>
          <w:b/>
        </w:rPr>
        <w:t xml:space="preserve">Gewünschter Nutzen  </w:t>
      </w:r>
      <w:r>
        <w:t>Kurzer, verständlicher Eintritt mit verlässlicher Hilfe; Austritt ohne Ticket; erkennbare und gut erreichbare Bedienung.</w:t>
      </w:r>
    </w:p>
    <w:p>
      <w:pPr>
        <w:spacing w:after="140"/>
      </w:pPr>
      <w:r>
        <w:rPr>
          <w:b/>
        </w:rPr>
        <w:t xml:space="preserve">Leistungen  </w:t>
      </w:r>
      <w:r>
        <w:t>Freies E1; drei separate kontrollierte Durchgänge; Papier- und Handy-Tickets; Berechtigungen für Ebenenwechsel, Wiedereintritt, Gruppen und Gratiseintritte; erreichbarer Hilferuf.</w:t>
      </w:r>
    </w:p>
    <w:p>
      <w:pPr>
        <w:spacing w:after="140"/>
      </w:pPr>
      <w:r>
        <w:rPr>
          <w:b/>
        </w:rPr>
        <w:t xml:space="preserve">Probleme vermindern  </w:t>
      </w:r>
      <w:r>
        <w:t>Breite, Sensorik, Kontraste, Leserposition und Öffnungsdauer im Pilot erproben. Ticketfehler verständlich anzeigen. Austritt darf weder von Ticket noch Ticketserver abhängen.</w:t>
      </w:r>
    </w:p>
    <w:p>
      <w:pPr>
        <w:spacing w:after="140"/>
      </w:pPr>
      <w:r>
        <w:rPr>
          <w:b/>
        </w:rPr>
        <w:t xml:space="preserve">Zusätzlichen Nutzen schaffen  </w:t>
      </w:r>
      <w:r>
        <w:t>Gäste können ihren Rundgang selbst gestalten. Anonyme Zähldaten machen Nachfrage und Spitzen sichtbar. Die Technik ermöglicht einen Versuch ohne drei ständig besetzte neue Ticketposten.</w:t>
      </w:r>
    </w:p>
    <w:p>
      <w:pPr>
        <w:pStyle w:val="Heading2"/>
      </w:pPr>
      <w:r>
        <w:t>Zeit Preise und Nutzung</w:t>
      </w:r>
    </w:p>
    <w:p>
      <w:pPr>
        <w:spacing w:after="140"/>
      </w:pPr>
      <w:r>
        <w:rPr>
          <w:b/>
        </w:rPr>
        <w:t xml:space="preserve">Zeit  </w:t>
      </w:r>
      <w:r>
        <w:t>Gleicher Zeitvorschlag wie V1: E2–E4 Di–So 10–17 Uhr; E1 zunächst zwei Abende bis 20 Uhr. Technik erzeugt keine Personalstunden für den Abend.</w:t>
      </w:r>
    </w:p>
    <w:p>
      <w:pPr>
        <w:spacing w:after="140"/>
      </w:pPr>
      <w:r>
        <w:rPr>
          <w:b/>
        </w:rPr>
        <w:t xml:space="preserve">Preise  </w:t>
      </w:r>
      <w:r>
        <w:t>Gleicher Tarifvorschlag wie V1: CHF 16 / 12 / 8 nach drei / zwei / einer geöffneten bezahlten Ebene; HKS allein CHF 6. Ein Hausbesuch soll keine drei Einzelkäufe verlangen.</w:t>
      </w:r>
    </w:p>
    <w:p>
      <w:r>
        <w:br w:type="page"/>
      </w:r>
    </w:p>
    <w:p>
      <w:pPr>
        <w:pStyle w:val="Subtitle"/>
      </w:pPr>
      <w:r>
        <w:t>VARIANTE 2</w:t>
      </w:r>
    </w:p>
    <w:p>
      <w:pPr>
        <w:pStyle w:val="Heading1"/>
      </w:pPr>
      <w:r>
        <w:t>Betrieb und Umsetzung</w:t>
      </w:r>
    </w:p>
    <w:p>
      <w:pPr>
        <w:spacing w:after="140"/>
      </w:pPr>
      <w:r>
        <w:rPr>
          <w:b/>
        </w:rPr>
        <w:t xml:space="preserve">Einbau und freie Flucht  </w:t>
      </w:r>
      <w:r>
        <w:t>Die geschätzten 1,60 m Zugangsbreite sind kein Aufmass. Gehäuse, Flügel und Warteschlange dürfen erforderliche Fluchtbreiten und die Bewegung der Brandschutztüren nicht einschränken. Die konkrete Anlage mit Haustechnik, Brandschutzplanung und zuständigen Stellen prüfen. Ein Produktzertifikat ersetzt keine Freigabe der Einbausituation. [S4, S5]</w:t>
      </w:r>
    </w:p>
    <w:p>
      <w:pPr>
        <w:spacing w:after="140"/>
      </w:pPr>
      <w:r>
        <w:rPr>
          <w:b/>
        </w:rPr>
        <w:t xml:space="preserve">Ticketlogik und Ausfall  </w:t>
      </w:r>
      <w:r>
        <w:t>Ein Ticket gilt für die gebuchten offenen Ebenen und den vorgesehenen Wiedereintritt. Gruppen, Begleitpersonen und Freieintritte werden vorab im echten Ticketsystem erprobt. Netzwerk-, Server- und Stromausfall, Alarm, Gegenverkehr sowie langsame Passage gehören zum Funktionstest. Eine Alarmfreigabe allein genügt als Fluchtkonzept nicht.</w:t>
      </w:r>
    </w:p>
    <w:p>
      <w:pPr>
        <w:spacing w:after="140"/>
      </w:pPr>
      <w:r>
        <w:rPr>
          <w:b/>
        </w:rPr>
        <w:t xml:space="preserve">Hilfe und Betrieb  </w:t>
      </w:r>
      <w:r>
        <w:t>Die Hilfe muss erreichbar sein, ohne Objektschutz und Besucherinformation untragbar zu unterbrechen. Im Pilot Fehlscans, Hilfefälle, Antwortzeit, Bearbeitungsminuten und betroffene Aufsichtsaufgaben messen. Bei nicht tragbarem Restaufwand Ausführung oder Personalmodell anpassen.</w:t>
      </w:r>
    </w:p>
    <w:p>
      <w:pPr>
        <w:spacing w:after="140"/>
      </w:pPr>
      <w:r>
        <w:rPr>
          <w:b/>
        </w:rPr>
        <w:t xml:space="preserve">Beschaffung  </w:t>
      </w:r>
      <w:r>
        <w:t>Vergleichbare Angebote für drei Eingänge, Ticketintegration, Montage, Sicherheitsplanung, Wartung und Service in Basel einholen. Ein möglicher HKS-Zugang wird separat angeboten. Investition und jährliche Folgekosten sind noch nicht belastbar bekannt.</w:t>
      </w:r>
    </w:p>
    <w:p>
      <w:pPr>
        <w:pStyle w:val="Heading2"/>
      </w:pPr>
      <w:r>
        <w:t>Zugänge Zählung und Ressourcen</w:t>
      </w:r>
    </w:p>
    <w:p>
      <w:pPr>
        <w:spacing w:after="140"/>
      </w:pPr>
      <w:r>
        <w:rPr>
          <w:b/>
        </w:rPr>
        <w:t xml:space="preserve">Zugänge und Zählung  </w:t>
      </w:r>
      <w:r>
        <w:t>Kontrolle zwischen gemeinsamem Vorraum und Ausstellung. Drei Anlagen für E2–E4; ein bezahlter HKS ist ein zusätzlicher Planungsfall. Gates zählen Passagen, nicht automatisch eindeutige Besuchende.</w:t>
      </w:r>
    </w:p>
    <w:p>
      <w:pPr>
        <w:spacing w:after="140"/>
      </w:pPr>
      <w:r>
        <w:rPr>
          <w:b/>
        </w:rPr>
        <w:t xml:space="preserve">Aufsicht und Ressourcen  </w:t>
      </w:r>
      <w:r>
        <w:t>Bestehende Aufsichten bleiben. Fehler, Gruppen, Service, IT und Schliessbetrieb brauchen Zuständige. Entlastung gegenüber drei Zusatzposten erst nach gemessenem Hilfsaufwand bewerten.</w:t>
      </w:r>
    </w:p>
    <w:tbl>
      <w:tblPr>
        <w:tblW w:type="auto" w:w="0"/>
        <w:tblLayout w:type="fixed"/>
        <w:tblLook w:firstColumn="1" w:firstRow="1" w:lastColumn="0" w:lastRow="0" w:noHBand="0" w:noVBand="1" w:val="04A0"/>
      </w:tblPr>
      <w:tblGrid>
        <w:gridCol w:w="2268"/>
        <w:gridCol w:w="7483"/>
      </w:tblGrid>
      <w:tr>
        <w:trPr>
          <w:tblHeader/>
          <w:cantSplit/>
        </w:trPr>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Kandidat</w:t>
            </w:r>
          </w:p>
        </w:tc>
        <w:tc>
          <w:tcPr>
            <w:tcW w:type="dxa" w:w="7483"/>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Prüfauftrag</w:t>
            </w:r>
          </w:p>
        </w:tc>
      </w:tr>
      <w:tr>
        <w:trPr>
          <w:cantSplit/>
        </w:trPr>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dormakaba Schweiz</w:t>
            </w:r>
          </w:p>
        </w:tc>
        <w:tc>
          <w:tcPr>
            <w:tcW w:type="dxa" w:w="7483"/>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Argus V60 / SafeRoute; freie Breite und konkrete Konfiguration prüfen. [S6]</w:t>
            </w:r>
          </w:p>
        </w:tc>
      </w:tr>
      <w:tr>
        <w:trPr>
          <w:cantSplit/>
        </w:trPr>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WEDATRONIC</w:t>
            </w:r>
          </w:p>
        </w:tc>
        <w:tc>
          <w:tcPr>
            <w:tcW w:type="dxa" w:w="7483"/>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SlimLane und Installationsumfang; aktuelle Ausführung und Service klären. [S7]</w:t>
            </w:r>
          </w:p>
        </w:tc>
      </w:tr>
      <w:tr>
        <w:trPr>
          <w:cantSplit/>
        </w:trPr>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BILEXA</w:t>
            </w:r>
          </w:p>
        </w:tc>
        <w:tc>
          <w:tcPr>
            <w:tcW w:type="dxa" w:w="7483"/>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Museums-Ticketintegration und Gesamtverantwortung prüfen.</w:t>
            </w:r>
          </w:p>
        </w:tc>
      </w:tr>
      <w:tr>
        <w:trPr>
          <w:cantSplit/>
        </w:trPr>
        <w:tc>
          <w:tcPr>
            <w:tcW w:type="dxa" w:w="2268"/>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Securiton Basel</w:t>
            </w:r>
          </w:p>
        </w:tc>
        <w:tc>
          <w:tcPr>
            <w:tcW w:type="dxa" w:w="7483"/>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Regionale Sicherheitsintegration und Herstellerpartner klären.</w:t>
            </w:r>
          </w:p>
        </w:tc>
      </w:tr>
    </w:tbl>
    <w:p>
      <w:pPr>
        <w:spacing w:after="0"/>
      </w:pPr>
    </w:p>
    <w:p>
      <w:r>
        <w:br w:type="page"/>
      </w:r>
    </w:p>
    <w:p>
      <w:pPr>
        <w:pStyle w:val="Subtitle"/>
      </w:pPr>
      <w:r>
        <w:t>VARIANTE 3  ·  Das ganze Haus ohne Eintrittspreis</w:t>
      </w:r>
    </w:p>
    <w:p>
      <w:pPr>
        <w:pStyle w:val="Heading1"/>
      </w:pPr>
      <w:r>
        <w:t>Kostenloser Eintritt</w:t>
      </w:r>
    </w:p>
    <w:p>
      <w:r>
        <w:t>Alle Ausstellungsebenen einschliesslich HKS und Pop-ups werden frei zugänglich. Die Finanzierung verlagert sich auf verbindliche Trägerschaft und Förderung sowie zusätzliche Nettoerträge aus freiwilligen Angeboten.</w:t>
      </w:r>
    </w:p>
    <w:p>
      <w:pPr>
        <w:pStyle w:val="Heading2"/>
      </w:pPr>
      <w:r>
        <w:t>Value Proposition Canvas</w:t>
      </w:r>
    </w:p>
    <w:p>
      <w:pPr>
        <w:spacing w:after="140"/>
      </w:pPr>
      <w:r>
        <w:rPr>
          <w:b/>
        </w:rPr>
        <w:t xml:space="preserve">Bedürfnisse und Aufgaben  </w:t>
      </w:r>
      <w:r>
        <w:t>Menschen möchten Kultur auch mit kleinem Budget erleben, kurz vorbeischauen, wiederkommen und das Haus als Treffpunkt nutzen. Touristen brauchen einen unkomplizierten Einstieg.</w:t>
      </w:r>
    </w:p>
    <w:p>
      <w:pPr>
        <w:spacing w:after="140"/>
      </w:pPr>
      <w:r>
        <w:rPr>
          <w:b/>
        </w:rPr>
        <w:t xml:space="preserve">Hindernisse und Probleme  </w:t>
      </w:r>
      <w:r>
        <w:t>Eintrittspreise, Unsicherheit über den Gegenwert und die Pflicht zu einem langen Besuch können abschrecken. Freier Eintritt allein beseitigt sprachliche, soziale oder räumliche Hürden noch nicht.</w:t>
      </w:r>
    </w:p>
    <w:p>
      <w:pPr>
        <w:spacing w:after="140"/>
      </w:pPr>
      <w:r>
        <w:rPr>
          <w:b/>
        </w:rPr>
        <w:t xml:space="preserve">Gewünschter Nutzen  </w:t>
      </w:r>
      <w:r>
        <w:t>Spontaner Zugang, wiederholte kurze Besuche und Teilhabe unabhängig von Kaufkraft. Der Besuch braucht weder Konsum noch Erklärung.</w:t>
      </w:r>
    </w:p>
    <w:p>
      <w:pPr>
        <w:spacing w:after="140"/>
      </w:pPr>
      <w:r>
        <w:rPr>
          <w:b/>
        </w:rPr>
        <w:t xml:space="preserve">Leistungen  </w:t>
      </w:r>
      <w:r>
        <w:t>Kostenloses E1 und kostenloser Ausstellungsbereich inklusive Winterausstellung; verständliche Orientierung; Pop-ups und Begegnungsformate. Separat gebuchte Veranstaltungen und Leistungen können kostenpflichtig sein.</w:t>
      </w:r>
    </w:p>
    <w:p>
      <w:pPr>
        <w:spacing w:after="140"/>
      </w:pPr>
      <w:r>
        <w:rPr>
          <w:b/>
        </w:rPr>
        <w:t xml:space="preserve">Probleme vermindern  </w:t>
      </w:r>
      <w:r>
        <w:t>Klar «Eintritt frei» kommunizieren. Keine Pflichtkäufe, Registrierung oder Spende verlangen. Besuchs- und Gastronomiebereiche verständlich trennen, damit Hausordnung und Orientierung funktionieren.</w:t>
      </w:r>
    </w:p>
    <w:p>
      <w:pPr>
        <w:spacing w:after="140"/>
      </w:pPr>
      <w:r>
        <w:rPr>
          <w:b/>
        </w:rPr>
        <w:t xml:space="preserve">Zusätzlichen Nutzen schaffen  </w:t>
      </w:r>
      <w:r>
        <w:t>Wiederbesuche und informelles Lernen fördern. Ein kuratiertes Souvenirangebot, freiwillige Workshops und ein geprüftes Café können den Besuch erweitern und Nettoerträge beitragen.</w:t>
      </w:r>
    </w:p>
    <w:p>
      <w:pPr>
        <w:pStyle w:val="Heading2"/>
      </w:pPr>
      <w:r>
        <w:t>Zeit Preise und Nutzung</w:t>
      </w:r>
    </w:p>
    <w:p>
      <w:pPr>
        <w:spacing w:after="140"/>
      </w:pPr>
      <w:r>
        <w:rPr>
          <w:b/>
        </w:rPr>
        <w:t xml:space="preserve">Zeit  </w:t>
      </w:r>
      <w:r>
        <w:t>Ausstellungen zunächst Di–So 10–17 Uhr. E1 an zwei Abenden bis 20 Uhr erproben, um neue Alltagsnutzungen zu testen. Erweiterte Vollöffnung erst nach Ressourcenprüfung.</w:t>
      </w:r>
    </w:p>
    <w:p>
      <w:pPr>
        <w:spacing w:after="140"/>
      </w:pPr>
      <w:r>
        <w:rPr>
          <w:b/>
        </w:rPr>
        <w:t xml:space="preserve">Preise  </w:t>
      </w:r>
      <w:r>
        <w:t>CHF 0 bei einer, zwei oder drei geöffneten oberen Ebenen sowie für HKS und Pop-ups. Separat gebuchte Konzerte, Workshops oder Führungen erhalten eigene, vorab sichtbare Preise.</w:t>
      </w:r>
    </w:p>
    <w:p>
      <w:r>
        <w:br w:type="page"/>
      </w:r>
    </w:p>
    <w:p>
      <w:pPr>
        <w:pStyle w:val="Subtitle"/>
      </w:pPr>
      <w:r>
        <w:t>VARIANTE 3</w:t>
      </w:r>
    </w:p>
    <w:p>
      <w:pPr>
        <w:pStyle w:val="Heading1"/>
      </w:pPr>
      <w:r>
        <w:t>Betrieb und Umsetzung</w:t>
      </w:r>
    </w:p>
    <w:p>
      <w:pPr>
        <w:spacing w:after="140"/>
      </w:pPr>
      <w:r>
        <w:rPr>
          <w:b/>
        </w:rPr>
        <w:t xml:space="preserve">Finanzierung zuerst absichern  </w:t>
      </w:r>
      <w:r>
        <w:t>Massgeblich sind die tatsächlich entfallenden Erlöse aus bezahlten Tickets. Passvergütungen, Passverkaufsprovisionen und gebuchte Leistungen getrennt prüfen. Bestehende Fördermittel und Shopbeiträge sind keine neue Finanzierung. Ein Besucherzuwachs ist ein Ziel und keine belastbare Einnahmenprognose.</w:t>
      </w:r>
    </w:p>
    <w:p>
      <w:pPr>
        <w:spacing w:after="140"/>
      </w:pPr>
      <w:r>
        <w:rPr>
          <w:b/>
        </w:rPr>
        <w:t xml:space="preserve">Shop und Café  </w:t>
      </w:r>
      <w:r>
        <w:t>Das bestehende Sortiment um passende, gut kalkulierte Souvenirs für Touristen ergänzen. Kaufquote, Warenkorb und Deckungsbeitrag nach direkten Kosten messen. Ein Café im Eingangsbereich ist eine eigene Option zusätzlich zum oder anstelle des Shops. Entfallenden Shopbeitrag, Investition, Personal und Reinigung berücksichtigen. Der Rollerhof ist laut Thomas verpachtet; unbekannte Abgaben und zusätzliche Erträge daraus werden nicht angesetzt.</w:t>
      </w:r>
    </w:p>
    <w:p>
      <w:pPr>
        <w:spacing w:after="140"/>
      </w:pPr>
      <w:r>
        <w:rPr>
          <w:b/>
        </w:rPr>
        <w:t xml:space="preserve">Veranstaltungen und Hofbar  </w:t>
      </w:r>
      <w:r>
        <w:t>Panels, klassische Konzerte, Jazz und Angebote für jüngeres Publikum können separat gebucht und bezahlt werden. Ticketumsatz abzüglich Honoraren, Technik, Betreuung und weiterer Durchführungskosten rechnen. Eine Sommernachtsbar im Hof nur nach Klärung von Pacht, Zuständigkeit, Lärm, Bewilligungen und Betrieb testen; keine zusätzlichen Rollerhof-Einnahmen unterstellen.</w:t>
      </w:r>
    </w:p>
    <w:p>
      <w:pPr>
        <w:spacing w:after="140"/>
      </w:pPr>
      <w:r>
        <w:rPr>
          <w:b/>
        </w:rPr>
        <w:t xml:space="preserve">Förderung und Pilot  </w:t>
      </w:r>
      <w:r>
        <w:t>Mehrjährige Beiträge für freien Zugang und wiederkehrende Unterstützung prüfen. Die Mitgliedschaft im Kulturkreis braucht bei Gratiseintritt ein weiterentwickeltes Nutzenversprechen. Ein sechsmonatiger Pilot vergleicht Nutzung, zusätzliche Nettoerträge, Mehrkosten und Besuchsqualität; Saison und Ausstellungskalender bleiben zu berücksichtigen.</w:t>
      </w:r>
    </w:p>
    <w:p>
      <w:pPr>
        <w:pStyle w:val="Heading2"/>
      </w:pPr>
      <w:r>
        <w:t>Zugänge Zählung und Ressourcen</w:t>
      </w:r>
    </w:p>
    <w:p>
      <w:pPr>
        <w:spacing w:after="140"/>
      </w:pPr>
      <w:r>
        <w:rPr>
          <w:b/>
        </w:rPr>
        <w:t xml:space="preserve">Zugänge und Zählung  </w:t>
      </w:r>
      <w:r>
        <w:t>Keine Zahlungssperren zwischen E1 und E2–E4 oder HKS. Geschlossene Räume bleiben klar abgegrenzt. Haus-, E1- und Ausstellungszählung funktioniert unabhängig von Tickets.</w:t>
      </w:r>
    </w:p>
    <w:p>
      <w:pPr>
        <w:spacing w:after="140"/>
      </w:pPr>
      <w:r>
        <w:rPr>
          <w:b/>
        </w:rPr>
        <w:t xml:space="preserve">Aufsicht und Ressourcen  </w:t>
      </w:r>
      <w:r>
        <w:t>Aufsichten und Empfang bleiben; mehr Andrang kann zusätzliche Betreuung, Reinigung und Sicherheit erfordern. Keine drei zusätzlichen Ticketposten; neue Programme und Gastronomie separat bemessen.</w:t>
      </w:r>
    </w:p>
    <w:p>
      <w:r>
        <w:drawing>
          <wp:inline xmlns:a="http://schemas.openxmlformats.org/drawingml/2006/main" xmlns:pic="http://schemas.openxmlformats.org/drawingml/2006/picture">
            <wp:extent cx="6120000" cy="1997053"/>
            <wp:docPr id="2" name="Picture 2"/>
            <wp:cNvGraphicFramePr>
              <a:graphicFrameLocks noChangeAspect="1"/>
            </wp:cNvGraphicFramePr>
            <a:graphic>
              <a:graphicData uri="http://schemas.openxmlformats.org/drawingml/2006/picture">
                <pic:pic>
                  <pic:nvPicPr>
                    <pic:cNvPr id="0" name="shop.png"/>
                    <pic:cNvPicPr/>
                  </pic:nvPicPr>
                  <pic:blipFill>
                    <a:blip r:embed="rId13"/>
                    <a:stretch>
                      <a:fillRect/>
                    </a:stretch>
                  </pic:blipFill>
                  <pic:spPr>
                    <a:xfrm>
                      <a:off x="0" y="0"/>
                      <a:ext cx="6120000" cy="1997053"/>
                    </a:xfrm>
                    <a:prstGeom prst="rect"/>
                  </pic:spPr>
                </pic:pic>
              </a:graphicData>
            </a:graphic>
          </wp:inline>
        </w:drawing>
      </w:r>
    </w:p>
    <w:p>
      <w:pPr>
        <w:pStyle w:val="Caption"/>
        <w:spacing w:after="160"/>
      </w:pPr>
      <w:r>
        <w:t>Reines Rechenbeispiel. Zusätzliche fixe Betriebs- und Personalkosten sind noch abzuziehen.</w:t>
      </w:r>
    </w:p>
    <w:p>
      <w:r>
        <w:br w:type="page"/>
      </w:r>
    </w:p>
    <w:p>
      <w:pPr>
        <w:pStyle w:val="Subtitle"/>
      </w:pPr>
      <w:r>
        <w:t>VARIANTE 4  ·  Frei besuchen und danach freiwillig beitragen</w:t>
      </w:r>
    </w:p>
    <w:p>
      <w:pPr>
        <w:pStyle w:val="Heading1"/>
      </w:pPr>
      <w:r>
        <w:t>Museum auf Vertrauen</w:t>
      </w:r>
    </w:p>
    <w:p>
      <w:r>
        <w:t>Das ganze Museum ist frei zugänglich. Nach dem Besuch entscheiden Gäste, ob und wie viel sie beitragen. Auch CHF 0 ist willkommen, ohne Rechtfertigung und ohne Kontrolle am Ausgang.</w:t>
      </w:r>
    </w:p>
    <w:p>
      <w:pPr>
        <w:pStyle w:val="Heading2"/>
      </w:pPr>
      <w:r>
        <w:t>Value Proposition Canvas</w:t>
      </w:r>
    </w:p>
    <w:p>
      <w:pPr>
        <w:spacing w:after="140"/>
      </w:pPr>
      <w:r>
        <w:rPr>
          <w:b/>
        </w:rPr>
        <w:t xml:space="preserve">Bedürfnisse und Aufgaben  </w:t>
      </w:r>
      <w:r>
        <w:t>Gäste möchten selbst über ihren Beitrag entscheiden, Kultur auch ohne Geld nutzen und bei Interesse Museumsarbeit unterstützen. Manche suchen Austausch über Bedeutung und Wert von Objekten.</w:t>
      </w:r>
    </w:p>
    <w:p>
      <w:pPr>
        <w:spacing w:after="140"/>
      </w:pPr>
      <w:r>
        <w:rPr>
          <w:b/>
        </w:rPr>
        <w:t xml:space="preserve">Hindernisse und Probleme  </w:t>
      </w:r>
      <w:r>
        <w:t>Unklare Freiwilligkeit, sichtbare Beobachtung oder ein erwarteter Mindestbetrag können Scham und Zahlungsdruck erzeugen. Die Gleichsetzung von Spende und Objektwert verzerrt die Vermittlung.</w:t>
      </w:r>
    </w:p>
    <w:p>
      <w:pPr>
        <w:spacing w:after="140"/>
      </w:pPr>
      <w:r>
        <w:rPr>
          <w:b/>
        </w:rPr>
        <w:t xml:space="preserve">Gewünschter Nutzen  </w:t>
      </w:r>
      <w:r>
        <w:t>Ein wertschätzender Besuch unabhängig vom Geldbeutel; eine einfache freiwillige Unterstützung; Einblicke in Forschung, Erhaltung und Perspektiven der Herkunftsgesellschaften.</w:t>
      </w:r>
    </w:p>
    <w:p>
      <w:pPr>
        <w:spacing w:after="140"/>
      </w:pPr>
      <w:r>
        <w:rPr>
          <w:b/>
        </w:rPr>
        <w:t xml:space="preserve">Leistungen  </w:t>
      </w:r>
      <w:r>
        <w:t>Freier Zugang zu allen Ausstellungen; optionale Beitragsstelle nach dem Besuch mit Bargeld und kontaktloser Zahlung; «Ein Objekt – viele Werte», Provenienzgespräche, Pop-ups, Panels und Vorträge.</w:t>
      </w:r>
    </w:p>
    <w:p>
      <w:pPr>
        <w:spacing w:after="140"/>
      </w:pPr>
      <w:r>
        <w:rPr>
          <w:b/>
        </w:rPr>
        <w:t xml:space="preserve">Probleme vermindern  </w:t>
      </w:r>
      <w:r>
        <w:t>CHF 0 ausdrücklich nennen. Keine Ausgangskontrolle, Mindestzahlung, Belegpflicht oder Kennzeichnung zahlender Gäste. Beiträge und Rückmeldungen nicht personenbezogen miteinander verknüpfen.</w:t>
      </w:r>
    </w:p>
    <w:p>
      <w:pPr>
        <w:spacing w:after="140"/>
      </w:pPr>
      <w:r>
        <w:rPr>
          <w:b/>
        </w:rPr>
        <w:t xml:space="preserve">Zusätzlichen Nutzen schaffen  </w:t>
      </w:r>
      <w:r>
        <w:t>Besuchende erleben, was ihre Unterstützung anderen ermöglicht. Ein Förderpartner könnte Beiträge bis zu einem vereinbarten Limit verdoppeln; wiederkehrende Beiträge können Planbarkeit stärken. Beides ist erst zu gewinnen.</w:t>
      </w:r>
    </w:p>
    <w:p>
      <w:pPr>
        <w:pStyle w:val="Heading2"/>
      </w:pPr>
      <w:r>
        <w:t>Zeit Preise und Nutzung</w:t>
      </w:r>
    </w:p>
    <w:p>
      <w:pPr>
        <w:spacing w:after="140"/>
      </w:pPr>
      <w:r>
        <w:rPr>
          <w:b/>
        </w:rPr>
        <w:t xml:space="preserve">Zeit  </w:t>
      </w:r>
      <w:r>
        <w:t>Gleicher Vorschlag: Ausstellungen Di–So 10–17 Uhr, E1 zunächst zwei Abende bis 20 Uhr. Gespräche und Panels erhalten geplante Termine und Betreuung.</w:t>
      </w:r>
    </w:p>
    <w:p>
      <w:pPr>
        <w:spacing w:after="140"/>
      </w:pPr>
      <w:r>
        <w:rPr>
          <w:b/>
        </w:rPr>
        <w:t xml:space="preserve">Preise  </w:t>
      </w:r>
      <w:r>
        <w:t>Kein Pflichtpreis bei zwei oder drei Ebenen oder für HKS; CHF 0 bleibt möglich. Ein Beitrag unterstützt das ganze Museum. Freiwilligkeit darf bei einer Teilöffnung nicht eingeschränkt werden.</w:t>
      </w:r>
    </w:p>
    <w:p>
      <w:r>
        <w:br w:type="page"/>
      </w:r>
    </w:p>
    <w:p>
      <w:pPr>
        <w:pStyle w:val="Subtitle"/>
      </w:pPr>
      <w:r>
        <w:t>VARIANTE 4</w:t>
      </w:r>
    </w:p>
    <w:p>
      <w:pPr>
        <w:pStyle w:val="Heading1"/>
      </w:pPr>
      <w:r>
        <w:t>Betrieb und Umsetzung</w:t>
      </w:r>
    </w:p>
    <w:p>
      <w:pPr>
        <w:spacing w:after="140"/>
      </w:pPr>
      <w:r>
        <w:rPr>
          <w:b/>
        </w:rPr>
        <w:t xml:space="preserve">Freiwillige Zahlung  </w:t>
      </w:r>
      <w:r>
        <w:t>Ein neutraler Hinweis nach dem Besuch genügt. Die Beitragsstelle liegt ausserhalb von Verkehrs- und Fluchtflächen. Bargeld sowie Karte oder TWINT prüfen; Smartphone und Registrierung sind nicht erforderlich. Bei technischer Störung bleibt der Besuch frei. Mitarbeitende fragen nicht nach Gründen für eine Nichtzahlung.</w:t>
      </w:r>
    </w:p>
    <w:p>
      <w:pPr>
        <w:spacing w:after="140"/>
      </w:pPr>
      <w:r>
        <w:rPr>
          <w:b/>
        </w:rPr>
        <w:t xml:space="preserve">Ein Objekt und viele Werte  </w:t>
      </w:r>
      <w:r>
        <w:t>Kuratorische, konservatorische, handwerkliche, persönliche und kulturelle Perspektiven nebeneinander sichtbar machen. Fragen: Wofür wurde das Objekt genutzt? Wie kam es nach Basel? Was bedeutet es heute? Was wissen wir noch nicht? Inhalte mit Forschung und beteiligten Communities erarbeiten, Unsicherheit benennen und Mitwirkung angemessen budgetieren. [S3]</w:t>
      </w:r>
    </w:p>
    <w:p>
      <w:pPr>
        <w:spacing w:after="140"/>
      </w:pPr>
      <w:r>
        <w:rPr>
          <w:b/>
        </w:rPr>
        <w:t xml:space="preserve">Geld und Vermittlung auseinanderhalten  </w:t>
      </w:r>
      <w:r>
        <w:t>Ein Beitrag ist weder Kaufpreis noch Marktwert eines Objekts und bestätigt keinen Eigentumsanspruch. Provenienz- und Restitutionsfragen werden nicht durch Spendenvoten entschieden. Pop-ups, Panels, Vorträge und Wissenstransfer erhalten eigene Zuständigkeiten, Honorare, Übersetzung und Betreuung.</w:t>
      </w:r>
    </w:p>
    <w:p>
      <w:pPr>
        <w:spacing w:after="140"/>
      </w:pPr>
      <w:r>
        <w:rPr>
          <w:b/>
        </w:rPr>
        <w:t xml:space="preserve">Finanzierung und Pilot  </w:t>
      </w:r>
      <w:r>
        <w:t>Beitrag je Besuch nach Gebühren sowie Mehrkosten messen. Gruppen- und Familienzahlungen verhindern eine einfache Gleichsetzung von Transaktionen und zahlenden Personen. Ein Matching zählt nur bei verbindlicher Zusage und bis zur vereinbarten Obergrenze. Alle Finanzierungsoptionen aus V3 können freiwillig ergänzen. Die konkrete Basler Ausgestaltung wird nicht als kopierter Genfer Betriebsablauf ausgegeben. [S2]</w:t>
      </w:r>
    </w:p>
    <w:p>
      <w:pPr>
        <w:pStyle w:val="Heading2"/>
      </w:pPr>
      <w:r>
        <w:t>Zugänge Zählung und Ressourcen</w:t>
      </w:r>
    </w:p>
    <w:p>
      <w:pPr>
        <w:spacing w:after="140"/>
      </w:pPr>
      <w:r>
        <w:rPr>
          <w:b/>
        </w:rPr>
        <w:t xml:space="preserve">Zugänge und Zählung  </w:t>
      </w:r>
      <w:r>
        <w:t>Keine Zahlungskontrolle, auch am Ausgang nicht. Anonyme Zähler und Stichproben messen Nutzung; Zahlungstransaktionen messen etwas anderes als Personen oder Besuche.</w:t>
      </w:r>
    </w:p>
    <w:p>
      <w:pPr>
        <w:spacing w:after="140"/>
      </w:pPr>
      <w:r>
        <w:rPr>
          <w:b/>
        </w:rPr>
        <w:t xml:space="preserve">Aufsicht und Ressourcen  </w:t>
      </w:r>
      <w:r>
        <w:t>Aufsicht, Empfang und Abendbetreuung bleiben erforderlich. Hinzu kommen Zahlungsabrechnung, Support, Vermittlung und Förderpflege. Keine automatische Entlastung des heutigen Personalbestands.</w:t>
      </w:r>
    </w:p>
    <w:p>
      <w:r>
        <w:drawing>
          <wp:inline xmlns:a="http://schemas.openxmlformats.org/drawingml/2006/main" xmlns:pic="http://schemas.openxmlformats.org/drawingml/2006/picture">
            <wp:extent cx="6120000" cy="1997053"/>
            <wp:docPr id="3" name="Picture 3"/>
            <wp:cNvGraphicFramePr>
              <a:graphicFrameLocks noChangeAspect="1"/>
            </wp:cNvGraphicFramePr>
            <a:graphic>
              <a:graphicData uri="http://schemas.openxmlformats.org/drawingml/2006/picture">
                <pic:pic>
                  <pic:nvPicPr>
                    <pic:cNvPr id="0" name="beitrag.png"/>
                    <pic:cNvPicPr/>
                  </pic:nvPicPr>
                  <pic:blipFill>
                    <a:blip r:embed="rId14"/>
                    <a:stretch>
                      <a:fillRect/>
                    </a:stretch>
                  </pic:blipFill>
                  <pic:spPr>
                    <a:xfrm>
                      <a:off x="0" y="0"/>
                      <a:ext cx="6120000" cy="1997053"/>
                    </a:xfrm>
                    <a:prstGeom prst="rect"/>
                  </pic:spPr>
                </pic:pic>
              </a:graphicData>
            </a:graphic>
          </wp:inline>
        </w:drawing>
      </w:r>
    </w:p>
    <w:p>
      <w:pPr>
        <w:pStyle w:val="Caption"/>
        <w:spacing w:after="160"/>
      </w:pPr>
      <w:r>
        <w:t>Reines Rechenbeispiel. Gebühren und Mehrkosten sind noch abzuziehen; keine belegte Zahlungsquote.</w:t>
      </w:r>
    </w:p>
    <w:p>
      <w:r>
        <w:br w:type="page"/>
      </w:r>
    </w:p>
    <w:p>
      <w:pPr>
        <w:pStyle w:val="Subtitle"/>
      </w:pPr>
      <w:r>
        <w:t>ZAHLEN UND MESSUNG</w:t>
      </w:r>
    </w:p>
    <w:p>
      <w:pPr>
        <w:pStyle w:val="Heading1"/>
      </w:pPr>
      <w:r>
        <w:t>Vergleichen und nachvollziehbar rechnen</w:t>
      </w:r>
    </w:p>
    <w:tbl>
      <w:tblPr>
        <w:tblW w:type="auto" w:w="0"/>
        <w:tblLayout w:type="fixed"/>
        <w:tblLook w:firstColumn="1" w:firstRow="1" w:lastColumn="0" w:lastRow="0" w:noHBand="0" w:noVBand="1" w:val="04A0"/>
      </w:tblPr>
      <w:tblGrid>
        <w:gridCol w:w="2494"/>
        <w:gridCol w:w="1814"/>
        <w:gridCol w:w="1814"/>
        <w:gridCol w:w="1814"/>
        <w:gridCol w:w="1814"/>
      </w:tblGrid>
      <w:tr>
        <w:trPr>
          <w:tblHeader/>
          <w:cantSplit/>
        </w:trPr>
        <w:tc>
          <w:tcPr>
            <w:tcW w:type="dxa" w:w="249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Frage</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V1</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V2</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V3</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V4</w:t>
            </w:r>
          </w:p>
        </w:tc>
      </w:tr>
      <w:tr>
        <w:trPr>
          <w:cantSplit/>
        </w:trPr>
        <w:tc>
          <w:tcPr>
            <w:tcW w:type="dxa" w:w="249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Drei neue Ticketposten E2–E4</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126 h/Woche</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Ziel 0 feste Posten</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Keine</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Keine</w:t>
            </w:r>
          </w:p>
        </w:tc>
      </w:tr>
      <w:tr>
        <w:trPr>
          <w:cantSplit/>
        </w:trPr>
        <w:tc>
          <w:tcPr>
            <w:tcW w:type="dxa" w:w="249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Bestehende Aufsichten</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Bleiben</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Bleiben</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Bleiben</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Bleiben</w:t>
            </w:r>
          </w:p>
        </w:tc>
      </w:tr>
      <w:tr>
        <w:trPr>
          <w:cantSplit/>
        </w:trPr>
        <w:tc>
          <w:tcPr>
            <w:tcW w:type="dxa" w:w="249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Hauptfinanzierung</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Tickets</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Tickets</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Trägerschaft und neue Nettoerträge</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Freiwillige Beiträge und neue Nettoerträge</w:t>
            </w:r>
          </w:p>
        </w:tc>
      </w:tr>
      <w:tr>
        <w:trPr>
          <w:cantSplit/>
        </w:trPr>
        <w:tc>
          <w:tcPr>
            <w:tcW w:type="dxa" w:w="249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Hauptunsicherheit</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Dienstplan und Kosten</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Einbau und Hilfeaufwand</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Finanzierungslücke</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Beitrag je Besuch</w:t>
            </w:r>
          </w:p>
        </w:tc>
      </w:tr>
      <w:tr>
        <w:trPr>
          <w:cantSplit/>
        </w:trPr>
        <w:tc>
          <w:tcPr>
            <w:tcW w:type="dxa" w:w="249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HKS falls bezahlt</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Zusätzlicher Kontrollbedarf</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Eigene Lösung nötig</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Frei</w:t>
            </w:r>
          </w:p>
        </w:tc>
        <w:tc>
          <w:tcPr>
            <w:tcW w:type="dxa" w:w="181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Frei</w:t>
            </w:r>
          </w:p>
        </w:tc>
      </w:tr>
    </w:tbl>
    <w:p>
      <w:pPr>
        <w:spacing w:after="0"/>
      </w:pPr>
    </w:p>
    <w:p>
      <w:pPr>
        <w:pStyle w:val="Heading2"/>
      </w:pPr>
      <w:r>
        <w:t>Eine gemeinsame finanzielle Vergleichsbasis</w:t>
      </w:r>
    </w:p>
    <w:p>
      <w:r>
        <w:t>Jährlicher zusätzlicher Finanzierungsbedarf = tatsächlich entfallende Ticket- und Passerlöse + zusätzliche laufende Kosten − neue Nettoerträge − tatsächlich wegfallende Bestandskosten. Investitionen separat ausweisen oder über eine ausdrücklich gewählte Nutzungsdauer verteilen. Vermiedene neue Posten aus V1 sind keine eingesparten heutigen Stellen.</w:t>
      </w:r>
    </w:p>
    <w:p>
      <w:pPr>
        <w:spacing w:after="140"/>
      </w:pPr>
      <w:r>
        <w:rPr>
          <w:b/>
        </w:rPr>
        <w:t xml:space="preserve">Personal  </w:t>
      </w:r>
      <w:r>
        <w:t>126 h ÷ 42 h = 3,0 Vollzeitstellen nominal. Bei beispielhaft 80 % verfügbarer Einsatzzeit: 3,75 Stellen. Für E1 zusätzlich: Abende × Zusatzstunden × Personen ÷ (Wochenstunden × Einsatzquote). HKS-Stunden separat addieren.</w:t>
      </w:r>
    </w:p>
    <w:p>
      <w:pPr>
        <w:spacing w:after="140"/>
      </w:pPr>
      <w:r>
        <w:rPr>
          <w:b/>
        </w:rPr>
        <w:t xml:space="preserve">Shop und Beiträge  </w:t>
      </w:r>
      <w:r>
        <w:t>1’000 Zusatzbesuche × 20 % Kaufquote × CHF 20 × 40 % = CHF 1’600 Shopbeitrag vor zusätzlichen Fixkosten. 10’000 Besuche × 40 % zahlende Personen × CHF 8 = CHF 32’000 Bruttobeiträge. Alle Werte sind Modellannahmen.</w:t>
      </w:r>
    </w:p>
    <w:p>
      <w:pPr>
        <w:spacing w:after="140"/>
      </w:pPr>
      <w:r>
        <w:rPr>
          <w:b/>
        </w:rPr>
        <w:t xml:space="preserve">Verlässliche Einnahmenbasis  </w:t>
      </w:r>
      <w:r>
        <w:t>Thomas fragt im Chat gezielt nach tatsächlich zahlenden Tickets, Shopgewinn und Veranstaltungserträgen. Die dort erwähnten Zahlen für 2018 sind historischer Gesprächswortlaut und werden hier nicht als aktuelle Basis übernommen. Aktuelle Buchhaltung mit getrennten Passzahlungen anfordern.</w:t>
      </w:r>
    </w:p>
    <w:p>
      <w:pPr>
        <w:pStyle w:val="Heading2"/>
      </w:pPr>
      <w:r>
        <w:t>Was die Zählung leisten muss</w:t>
      </w:r>
    </w:p>
    <w:p>
      <w:r>
        <w:t>Am Hauseingang Besuche erfassen; E1 am Raumübergang messen, nicht aus Lift- oder Treppennutzung ableiten. E2–E4 und HKS mit richtungsgetrennten Zählern zählen; Unterausstellungen mit eigenen Schwellen oder begrenzten Stichproben. Wiederholte Passagen bleiben als solche ausgewiesen. Die Summe der Ebenenpassagen ist keine Anzahl eindeutiger Hausbesuche. Personal, Gruppen, Gegenverkehr und Sensorausfälle kalibrieren; keine Gesichtserkennung nötig.</w:t>
      </w:r>
    </w:p>
    <w:p>
      <w:r>
        <w:br w:type="page"/>
      </w:r>
    </w:p>
    <w:p>
      <w:pPr>
        <w:pStyle w:val="Subtitle"/>
      </w:pPr>
      <w:r>
        <w:t>VOM VORSCHLAG ZUM ENTSCHEID</w:t>
      </w:r>
    </w:p>
    <w:p>
      <w:pPr>
        <w:pStyle w:val="Heading1"/>
      </w:pPr>
      <w:r>
        <w:t>Pilot Entscheidungen und Quellen</w:t>
      </w:r>
    </w:p>
    <w:tbl>
      <w:tblPr>
        <w:tblW w:type="auto" w:w="0"/>
        <w:tblLayout w:type="fixed"/>
        <w:tblLook w:firstColumn="1" w:firstRow="1" w:lastColumn="0" w:lastRow="0" w:noHBand="0" w:noVBand="1" w:val="04A0"/>
      </w:tblPr>
      <w:tblGrid>
        <w:gridCol w:w="1757"/>
        <w:gridCol w:w="7994"/>
      </w:tblGrid>
      <w:tr>
        <w:trPr>
          <w:tblHeader/>
          <w:cantSplit/>
        </w:trPr>
        <w:tc>
          <w:tcPr>
            <w:tcW w:type="dxa" w:w="1757"/>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Schritt</w:t>
            </w:r>
          </w:p>
        </w:tc>
        <w:tc>
          <w:tcPr>
            <w:tcW w:type="dxa" w:w="799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333333"/>
          </w:tcPr>
          <w:p>
            <w:pPr>
              <w:spacing w:after="20" w:line="252" w:lineRule="auto"/>
            </w:pPr>
            <w:r>
              <w:rPr>
                <w:b/>
                <w:color w:val="FFFFFF"/>
                <w:sz w:val="18"/>
              </w:rPr>
              <w:t>Ergebnis und Verantwortung</w:t>
            </w:r>
          </w:p>
        </w:tc>
      </w:tr>
      <w:tr>
        <w:trPr>
          <w:cantSplit/>
        </w:trPr>
        <w:tc>
          <w:tcPr>
            <w:tcW w:type="dxa" w:w="1757"/>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1 Grundlagen</w:t>
            </w:r>
          </w:p>
        </w:tc>
        <w:tc>
          <w:tcPr>
            <w:tcW w:type="dxa" w:w="799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Direktion / Finanzen: aktuelle Ticket- und Passerlöse, Shopbeitrag, Fördermittel, Eventkosten. Besuchendendienst: verfügbare Einsatzzeit und Aufgaben.</w:t>
            </w:r>
          </w:p>
        </w:tc>
      </w:tr>
      <w:tr>
        <w:trPr>
          <w:cantSplit/>
        </w:trPr>
        <w:tc>
          <w:tcPr>
            <w:tcW w:type="dxa" w:w="1757"/>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2 Machbarkeit</w:t>
            </w:r>
          </w:p>
        </w:tc>
        <w:tc>
          <w:tcPr>
            <w:tcW w:type="dxa" w:w="799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Haustechnik / Brandschutz / IT: Aufmass, Wege, HKS-Abtrennung, Ticketintegration und Zähler. Finanzierte Angebote statt Preisannahmen.</w:t>
            </w:r>
          </w:p>
        </w:tc>
      </w:tr>
      <w:tr>
        <w:trPr>
          <w:cantSplit/>
        </w:trPr>
        <w:tc>
          <w:tcPr>
            <w:tcW w:type="dxa" w:w="1757"/>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3 Erprobung</w:t>
            </w:r>
          </w:p>
        </w:tc>
        <w:tc>
          <w:tcPr>
            <w:tcW w:type="dxa" w:w="799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FFFFF"/>
          </w:tcPr>
          <w:p>
            <w:pPr>
              <w:spacing w:after="20" w:line="252" w:lineRule="auto"/>
            </w:pPr>
            <w:r>
              <w:rPr>
                <w:b w:val="0"/>
                <w:color w:val="000000"/>
                <w:sz w:val="18"/>
              </w:rPr>
              <w:t>V1: Dienstplan und Gruppenablauf. V2: ein Durchgang mit Störungs- und Zugänglichkeitstest. V3/V4: Vorschlag sechs Monate mit finanzierter Obergrenze.</w:t>
            </w:r>
          </w:p>
        </w:tc>
      </w:tr>
      <w:tr>
        <w:trPr>
          <w:cantSplit/>
        </w:trPr>
        <w:tc>
          <w:tcPr>
            <w:tcW w:type="dxa" w:w="1757"/>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4 Auswertung</w:t>
            </w:r>
          </w:p>
        </w:tc>
        <w:tc>
          <w:tcPr>
            <w:tcW w:type="dxa" w:w="7994"/>
            <w:vAlign w:val="center"/>
            <w:tcBorders>
              <w:top w:val="single" w:sz="4" w:color="D9D9D9"/>
              <w:bottom w:val="single" w:sz="4" w:color="D9D9D9"/>
              <w:left w:val="single" w:sz="4" w:color="D9D9D9"/>
              <w:right w:val="single" w:sz="4" w:color="D9D9D9"/>
            </w:tcBorders>
            <w:tcMar>
              <w:top w:w="95" w:type="dxa"/>
              <w:bottom w:w="95" w:type="dxa"/>
              <w:left w:w="95" w:type="dxa"/>
              <w:right w:w="95" w:type="dxa"/>
            </w:tcMar>
            <w:shd w:fill="F3F3F3"/>
          </w:tcPr>
          <w:p>
            <w:pPr>
              <w:spacing w:after="20" w:line="252" w:lineRule="auto"/>
            </w:pPr>
            <w:r>
              <w:rPr>
                <w:b w:val="0"/>
                <w:color w:val="000000"/>
                <w:sz w:val="18"/>
              </w:rPr>
              <w:t>Nutzung, Besuchsqualität, Betreuungsminuten, Sicherheit, Nettoertrag und Mehrkosten gemeinsam beurteilen. Fortführen, anpassen oder beenden anhand vorab vereinbarter Grenzen.</w:t>
            </w:r>
          </w:p>
        </w:tc>
      </w:tr>
    </w:tbl>
    <w:p>
      <w:pPr>
        <w:spacing w:after="0"/>
      </w:pPr>
    </w:p>
    <w:p>
      <w:r>
        <w:t>Ressourcen ausserhalb der Aufsicht: Empfang und Kasse, IT, Haustechnik, Reinigung, Sicherheits- und Schliessdienst, Kommunikation, Programmplanung, Honorare und Förderpflege. Längere Öffnung ist erst mit einem vollständigen Aufgaben- und Dienstplan tragfähig.</w:t>
      </w:r>
    </w:p>
    <w:p>
      <w:pPr>
        <w:pStyle w:val="Heading2"/>
      </w:pPr>
      <w:r>
        <w:t>Ergänzungen nach Abgleich mit dem Chat</w:t>
      </w:r>
    </w:p>
    <w:p>
      <w:r>
        <w:t>Ergänzt wurden bezahlte Konzerte und Panels, Sommernachtsbar und Souvenirs (D010–D016), wiederkehrende Beiträge und gedeckeltes Matching (D018), verschiedene Objektwerte und Provenienzdialog (D019–D022). Rollerhof-Pacht bleibt gemäss B028 eine offene Vertragsgrösse. Neu sind insbesondere Teilpreise, HKS-Abtrennung, Zählkonzept und der begrenzte Abendpilot aus den ZZPA-Fragen. Die vier Ausgangskonzepte bleiben unverändert als Quellen erhalten.</w:t>
      </w:r>
    </w:p>
    <w:p>
      <w:pPr>
        <w:pStyle w:val="Heading2"/>
      </w:pPr>
      <w:r>
        <w:t>Quellen und Nachweisgrenzen</w:t>
      </w:r>
    </w:p>
    <w:p>
      <w:r>
        <w:t>Interne Grundlage: die vier MKB-Konzeptdateien vom 2.11.2026, die verfügbare Chatabschrift mit Abschnitten A–D und ZZPA Fragen.pdf. Die Abschrift ist ausdrücklich kein lückenloser Export. Die Darstellungen sind Planungs- und Entscheidungshilfen.</w:t>
      </w:r>
    </w:p>
    <w:p>
      <w:hyperlink r:id="rId15">
        <w:r>
          <w:rPr>
            <w:color w:val="000000"/>
          </w:rPr>
          <w:t>[S1] MKB Ihr Besuch</w:t>
        </w:r>
      </w:hyperlink>
    </w:p>
    <w:p>
      <w:pPr>
        <w:pStyle w:val="Caption"/>
        <w:spacing w:after="60"/>
      </w:pPr>
      <w:r>
        <w:t>Am 5.11.2026 geprüft: heutige Zeiten, Tarife und freie Zeitfenster. Neue Teilpreise sind eigene Vorschläge.</w:t>
      </w:r>
    </w:p>
    <w:p>
      <w:hyperlink r:id="rId16">
        <w:r>
          <w:rPr>
            <w:color w:val="000000"/>
          </w:rPr>
          <w:t>[S2] MAH Genf freie Preiswahl</w:t>
        </w:r>
      </w:hyperlink>
    </w:p>
    <w:p>
      <w:pPr>
        <w:pStyle w:val="Caption"/>
        <w:spacing w:after="60"/>
      </w:pPr>
      <w:r>
        <w:t>Aktuelle Ticketseite am 5.11.2026 geprüft. Das ursprüngliche FAQ war beim erneuten Abruf technisch gesperrt; CHF 0 ohne Ausgangskontrolle ist hier die Vorgabe aus dem MKB-Chat.</w:t>
      </w:r>
    </w:p>
    <w:p>
      <w:hyperlink r:id="rId17">
        <w:r>
          <w:rPr>
            <w:color w:val="000000"/>
          </w:rPr>
          <w:t>[S3] MKB Provenienzforschung</w:t>
        </w:r>
      </w:hyperlink>
    </w:p>
    <w:p>
      <w:pPr>
        <w:pStyle w:val="Caption"/>
        <w:spacing w:after="60"/>
      </w:pPr>
      <w:r>
        <w:t>Am 5.11.2026 geprüft. Inhaltlicher Anschluss; vorgeschlagene Stationen sind eigene Konzeption.</w:t>
      </w:r>
    </w:p>
    <w:p>
      <w:hyperlink r:id="rId18">
        <w:r>
          <w:rPr>
            <w:color w:val="000000"/>
          </w:rPr>
          <w:t>[S4] Basel Stadt Brandschutzverordnung</w:t>
        </w:r>
      </w:hyperlink>
    </w:p>
    <w:p>
      <w:pPr>
        <w:pStyle w:val="Caption"/>
        <w:spacing w:after="60"/>
      </w:pPr>
      <w:r>
        <w:t>Am 5.11.2026 geprüft, Stand 26.12.2024. Planung und Freigabe müssen die konkrete Situation berücksichtigen.</w:t>
      </w:r>
    </w:p>
    <w:p>
      <w:hyperlink r:id="rId19">
        <w:r>
          <w:rPr>
            <w:color w:val="000000"/>
          </w:rPr>
          <w:t>[S5] Hindernisfreie Architektur Durchgänge</w:t>
        </w:r>
      </w:hyperlink>
    </w:p>
    <w:p>
      <w:pPr>
        <w:pStyle w:val="Caption"/>
        <w:spacing w:after="60"/>
      </w:pPr>
      <w:r>
        <w:t>Am 5.11.2026 geprüft. Breite, Schwelle und Bewegungsfläche gemeinsam beurteilen.</w:t>
      </w:r>
    </w:p>
    <w:p>
      <w:hyperlink r:id="rId20">
        <w:r>
          <w:rPr>
            <w:color w:val="000000"/>
          </w:rPr>
          <w:t>[S6] dormakaba Argus V60</w:t>
        </w:r>
      </w:hyperlink>
    </w:p>
    <w:p>
      <w:pPr>
        <w:pStyle w:val="Caption"/>
        <w:spacing w:after="60"/>
      </w:pPr>
      <w:r>
        <w:t>Am 5.11.2026 geprüft: bis 1000 mm sensorisch überwacht, SafeRoute-Kombination. Keine Einbaufreigabe für MKB.</w:t>
      </w:r>
    </w:p>
    <w:p>
      <w:hyperlink r:id="rId21">
        <w:r>
          <w:rPr>
            <w:color w:val="000000"/>
          </w:rPr>
          <w:t>[S7] WEDATRONIC SlimLane und Produktbilder</w:t>
        </w:r>
      </w:hyperlink>
    </w:p>
    <w:p>
      <w:pPr>
        <w:pStyle w:val="Caption"/>
        <w:spacing w:after="60"/>
      </w:pPr>
      <w:r>
        <w:t>Am 5.11.2026 geprüft: Standardgehäuse 1640 mm, breite Varianten bis 1400 mm. Bilder sind Formreferenzen der Blender-Studie; Eignung, Service und Preise am MKB bleiben offen.</w:t>
      </w:r>
    </w:p>
    <w:p>
      <w:r>
        <w:br w:type="page"/>
      </w:r>
    </w:p>
    <w:p>
      <w:pPr>
        <w:pStyle w:val="Subtitle"/>
      </w:pPr>
      <w:r>
        <w:t>VISUELLE KONZEPTSTUDIE</w:t>
      </w:r>
    </w:p>
    <w:p>
      <w:pPr>
        <w:pStyle w:val="Heading1"/>
      </w:pPr>
      <w:r>
        <w:t>Ein offenes Haus in vier Modellen</w:t>
      </w:r>
    </w:p>
    <w:p>
      <w:r>
        <w:drawing>
          <wp:inline xmlns:a="http://schemas.openxmlformats.org/drawingml/2006/main" xmlns:pic="http://schemas.openxmlformats.org/drawingml/2006/picture">
            <wp:extent cx="6120000" cy="4080000"/>
            <wp:docPr id="4" name="Picture 4"/>
            <wp:cNvGraphicFramePr>
              <a:graphicFrameLocks noChangeAspect="1"/>
            </wp:cNvGraphicFramePr>
            <a:graphic>
              <a:graphicData uri="http://schemas.openxmlformats.org/drawingml/2006/picture">
                <pic:pic>
                  <pic:nvPicPr>
                    <pic:cNvPr id="0" name="gesamtkonzept.png"/>
                    <pic:cNvPicPr/>
                  </pic:nvPicPr>
                  <pic:blipFill>
                    <a:blip r:embed="rId22"/>
                    <a:stretch>
                      <a:fillRect/>
                    </a:stretch>
                  </pic:blipFill>
                  <pic:spPr>
                    <a:xfrm>
                      <a:off x="0" y="0"/>
                      <a:ext cx="6120000" cy="4080000"/>
                    </a:xfrm>
                    <a:prstGeom prst="rect"/>
                  </pic:spPr>
                </pic:pic>
              </a:graphicData>
            </a:graphic>
          </wp:inline>
        </w:drawing>
      </w:r>
    </w:p>
    <w:p>
      <w:pPr>
        <w:pStyle w:val="Caption"/>
        <w:spacing w:after="160"/>
      </w:pPr>
      <w:r>
        <w:t>KI bearbeitete Konzeptansicht auf Grundlage des Originalfotos der Ebene 1. Einrichtung und Personen sind vorgeschlagen; kein ausgeführter Zustand.</w:t>
      </w:r>
    </w:p>
    <w:p>
      <w:pPr>
        <w:spacing w:after="140"/>
      </w:pPr>
      <w:r>
        <w:rPr>
          <w:b/>
        </w:rPr>
        <w:t xml:space="preserve">Begegnung ohne Konsumation  </w:t>
      </w:r>
      <w:r>
        <w:t>Gesprächsgruppen, gemeinsamer Mitmachtisch, Beteiligungswand und ruhiger Lesebereich schaffen Raum für Austausch und Teilhabe. Ohne Pflanzen und ohne Kaufpflicht; freie Durchgänge bleiben Teil des Konzepts. E1 ist in allen vier Modellen kostenlos.</w:t>
      </w:r>
    </w:p>
    <w:p>
      <w:pPr>
        <w:spacing w:after="140"/>
      </w:pPr>
      <w:r>
        <w:rPr>
          <w:b/>
        </w:rPr>
        <w:t xml:space="preserve">Interpretation der Bilder  </w:t>
      </w:r>
      <w:r>
        <w:t>Die E1-Ansicht verwendet das bereitgestellte Raumfoto. Die folgenden Zugangsbilder nutzen die Museumsgeometrie der kopierten Blender-Datei. Damengarderobe ist nur deren Dateiname. Neu hinzugefügt sind die Zutrittssysteme und ihre visualisierte Betriebsstellung.</w:t>
      </w:r>
    </w:p>
    <w:p>
      <w:r>
        <w:br w:type="page"/>
      </w:r>
    </w:p>
    <w:p>
      <w:pPr>
        <w:pStyle w:val="Subtitle"/>
      </w:pPr>
      <w:r>
        <w:t>BLENDER STUDIE  ·  E2 UND E3</w:t>
      </w:r>
    </w:p>
    <w:p>
      <w:pPr>
        <w:pStyle w:val="Heading1"/>
      </w:pPr>
      <w:r>
        <w:t>Die Ausstellungseingänge im Museumsmodell</w:t>
      </w:r>
    </w:p>
    <w:p>
      <w:r>
        <w:drawing>
          <wp:inline xmlns:a="http://schemas.openxmlformats.org/drawingml/2006/main" xmlns:pic="http://schemas.openxmlformats.org/drawingml/2006/picture">
            <wp:extent cx="5400000" cy="3037500"/>
            <wp:docPr id="5" name="Picture 5"/>
            <wp:cNvGraphicFramePr>
              <a:graphicFrameLocks noChangeAspect="1"/>
            </wp:cNvGraphicFramePr>
            <a:graphic>
              <a:graphicData uri="http://schemas.openxmlformats.org/drawingml/2006/picture">
                <pic:pic>
                  <pic:nvPicPr>
                    <pic:cNvPr id="0" name="treppenhaus_kontext.png"/>
                    <pic:cNvPicPr/>
                  </pic:nvPicPr>
                  <pic:blipFill>
                    <a:blip r:embed="rId23"/>
                    <a:stretch>
                      <a:fillRect/>
                    </a:stretch>
                  </pic:blipFill>
                  <pic:spPr>
                    <a:xfrm>
                      <a:off x="0" y="0"/>
                      <a:ext cx="5400000" cy="3037500"/>
                    </a:xfrm>
                    <a:prstGeom prst="rect"/>
                  </pic:spPr>
                </pic:pic>
              </a:graphicData>
            </a:graphic>
          </wp:inline>
        </w:drawing>
      </w:r>
    </w:p>
    <w:p>
      <w:pPr>
        <w:pStyle w:val="Caption"/>
        <w:spacing w:after="160"/>
      </w:pPr>
      <w:r>
        <w:t>Blick vom Haupttreppenhaus zum Ausstellungseingang. Bestehende Geometrie aus der Quelldatei, neue Anlage als Entwurf.</w:t>
      </w:r>
    </w:p>
    <w:p>
      <w:r>
        <w:drawing>
          <wp:inline xmlns:a="http://schemas.openxmlformats.org/drawingml/2006/main" xmlns:pic="http://schemas.openxmlformats.org/drawingml/2006/picture">
            <wp:extent cx="5400000" cy="3037500"/>
            <wp:docPr id="6" name="Picture 6"/>
            <wp:cNvGraphicFramePr>
              <a:graphicFrameLocks noChangeAspect="1"/>
            </wp:cNvGraphicFramePr>
            <a:graphic>
              <a:graphicData uri="http://schemas.openxmlformats.org/drawingml/2006/picture">
                <pic:pic>
                  <pic:nvPicPr>
                    <pic:cNvPr id="0" name="zugang_E3.png"/>
                    <pic:cNvPicPr/>
                  </pic:nvPicPr>
                  <pic:blipFill>
                    <a:blip r:embed="rId24"/>
                    <a:stretch>
                      <a:fillRect/>
                    </a:stretch>
                  </pic:blipFill>
                  <pic:spPr>
                    <a:xfrm>
                      <a:off x="0" y="0"/>
                      <a:ext cx="5400000" cy="3037500"/>
                    </a:xfrm>
                    <a:prstGeom prst="rect"/>
                  </pic:spPr>
                </pic:pic>
              </a:graphicData>
            </a:graphic>
          </wp:inline>
        </w:drawing>
      </w:r>
    </w:p>
    <w:p>
      <w:pPr>
        <w:pStyle w:val="Caption"/>
        <w:spacing w:after="160"/>
      </w:pPr>
      <w:r>
        <w:t>Kompakte Säulen und Glasflügel nach Bildreferenz Argus V60. Gezeigte Passage 1,00 m; keine Freigabe der erforderlichen Fluchtwegbreite. [S6]</w:t>
      </w:r>
    </w:p>
    <w:p>
      <w:r>
        <w:br w:type="page"/>
      </w:r>
    </w:p>
    <w:p>
      <w:pPr>
        <w:pStyle w:val="Subtitle"/>
      </w:pPr>
      <w:r>
        <w:t>BLENDER STUDIE  ·  E4</w:t>
      </w:r>
    </w:p>
    <w:p>
      <w:pPr>
        <w:pStyle w:val="Heading1"/>
      </w:pPr>
      <w:r>
        <w:t>Breitere Variante und Kurzfilm</w:t>
      </w:r>
    </w:p>
    <w:p>
      <w:r>
        <w:drawing>
          <wp:inline xmlns:a="http://schemas.openxmlformats.org/drawingml/2006/main" xmlns:pic="http://schemas.openxmlformats.org/drawingml/2006/picture">
            <wp:extent cx="6120000" cy="3442500"/>
            <wp:docPr id="7" name="Picture 7"/>
            <wp:cNvGraphicFramePr>
              <a:graphicFrameLocks noChangeAspect="1"/>
            </wp:cNvGraphicFramePr>
            <a:graphic>
              <a:graphicData uri="http://schemas.openxmlformats.org/drawingml/2006/picture">
                <pic:pic>
                  <pic:nvPicPr>
                    <pic:cNvPr id="0" name="zugang_E4.png"/>
                    <pic:cNvPicPr/>
                  </pic:nvPicPr>
                  <pic:blipFill>
                    <a:blip r:embed="rId25"/>
                    <a:stretch>
                      <a:fillRect/>
                    </a:stretch>
                  </pic:blipFill>
                  <pic:spPr>
                    <a:xfrm>
                      <a:off x="0" y="0"/>
                      <a:ext cx="6120000" cy="3442500"/>
                    </a:xfrm>
                    <a:prstGeom prst="rect"/>
                  </pic:spPr>
                </pic:pic>
              </a:graphicData>
            </a:graphic>
          </wp:inline>
        </w:drawing>
      </w:r>
    </w:p>
    <w:p>
      <w:pPr>
        <w:pStyle w:val="Caption"/>
        <w:spacing w:after="160"/>
      </w:pPr>
      <w:r>
        <w:t>E4 im vorhandenen Museumsmodell. Breitere Rahmenanlage nach SlimLane-Bildreferenz; Passage 1,40 m und Gehäuselänge 1,64 m als Form- und Massreferenz. [S7]</w:t>
      </w:r>
    </w:p>
    <w:p>
      <w:r>
        <w:t>Die Ausstellungsebenen E2, E3 und E4 entsprechen in der Modelldokumentation E01, E02 und E03. Der Film zeigt drei Zugänge vom Treppenhaus her, schwenkende Flügel und den Unterschied zwischen Eintritt mit Ticket und Austritt ohne Ticket. Die Anlagen sind nach Produktbildern modellierte Annäherungen, keine freigegebenen Hersteller-BIM-Modelle.</w:t>
      </w:r>
    </w:p>
    <w:p>
      <w:r>
        <w:t>Die Bestandswände werden übernommen. Die Brandschutztüren sind in offener Betriebsstellung schematisch dargestellt. Seitliche Glasanschlüsse sind Teil des Entwurfs. Die gezeigten 1,00 m beziehungsweise 1,40 m können eine erforderliche Fluchtbreite unterschreiten. Aufmass, Schwenkbereiche, Sicherheitsfunktion und passende Produktkonfiguration sind vor einem Einbau nachzuweisen.</w:t>
      </w:r>
    </w:p>
    <w:p>
      <w:hyperlink r:id="rId26">
        <w:r>
          <w:rPr>
            <w:color w:val="000000"/>
          </w:rPr>
          <w:t>Kurzfilm und Bilder auf der Projektseite öffnen</w:t>
        </w:r>
      </w:hyperlink>
    </w:p>
    <w:p>
      <w:pPr>
        <w:keepNext/>
        <w:spacing w:before="80" w:after="40"/>
        <w:jc w:val="center"/>
      </w:pPr>
      <w:r>
        <w:drawing>
          <wp:inline xmlns:a="http://schemas.openxmlformats.org/drawingml/2006/main" xmlns:pic="http://schemas.openxmlformats.org/drawingml/2006/picture">
            <wp:extent cx="900000" cy="900000"/>
            <wp:docPr id="8" name="Picture 8"/>
            <wp:cNvGraphicFramePr>
              <a:graphicFrameLocks noChangeAspect="1"/>
            </wp:cNvGraphicFramePr>
            <a:graphic>
              <a:graphicData uri="http://schemas.openxmlformats.org/drawingml/2006/picture">
                <pic:pic>
                  <pic:nvPicPr>
                    <pic:cNvPr id="0" name="QR_zzpa.png"/>
                    <pic:cNvPicPr/>
                  </pic:nvPicPr>
                  <pic:blipFill>
                    <a:blip r:embed="rId27"/>
                    <a:stretch>
                      <a:fillRect/>
                    </a:stretch>
                  </pic:blipFill>
                  <pic:spPr>
                    <a:xfrm>
                      <a:off x="0" y="0"/>
                      <a:ext cx="900000" cy="900000"/>
                    </a:xfrm>
                    <a:prstGeom prst="rect"/>
                  </pic:spPr>
                </pic:pic>
              </a:graphicData>
            </a:graphic>
          </wp:inline>
        </w:drawing>
      </w:r>
    </w:p>
    <w:p>
      <w:pPr>
        <w:spacing w:after="0"/>
        <w:jc w:val="center"/>
      </w:pPr>
      <w:hyperlink r:id="rId11">
        <w:r>
          <w:rPr>
            <w:color w:val="000000"/>
            <w:sz w:val="18"/>
          </w:rPr>
          <w:t>Webseite mit Simulation und Medien  ·  https://zzpa.isipisi.tech</w:t>
        </w:r>
      </w:hyperlink>
    </w:p>
    <w:sectPr w:rsidR="00FC693F" w:rsidRPr="0006063C" w:rsidSect="00034616">
      <w:headerReference w:type="default" r:id="rId9"/>
      <w:footerReference w:type="default" r:id="rId10"/>
      <w:pgSz w:w="11906" w:h="16838"/>
      <w:pgMar w:top="935" w:right="1077" w:bottom="879"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color w:val="555555"/>
        <w:sz w:val="16"/>
      </w:rPr>
      <w:t>Diskussionsgrundlage · 5. November 2026</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pos="9751" w:val="right"/>
      </w:tabs>
    </w:pPr>
    <w:r>
      <w:rPr>
        <w:color w:val="000000"/>
      </w:rPr>
      <w:t>MUSEUM DER KULTUREN BASEL</w:t>
      <w:tab/>
      <w:t>EBENE EINS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555555"/>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zzpa.isipisi.tech"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hyperlink" Target="https://www.mkb.ch/de/ihr-besuch.html" TargetMode="External"/><Relationship Id="rId16" Type="http://schemas.openxmlformats.org/officeDocument/2006/relationships/hyperlink" Target="https://billetterie.mahmah.ch/selection/service?lang=fr&amp;productId=10228729225793" TargetMode="External"/><Relationship Id="rId17" Type="http://schemas.openxmlformats.org/officeDocument/2006/relationships/hyperlink" Target="https://www.mkb.ch/de/museum/provenienzforschung.html" TargetMode="External"/><Relationship Id="rId18" Type="http://schemas.openxmlformats.org/officeDocument/2006/relationships/hyperlink" Target="https://www.gesetzessammlung.bs.ch/api/de/versions/6490/pdf_file" TargetMode="External"/><Relationship Id="rId19" Type="http://schemas.openxmlformats.org/officeDocument/2006/relationships/hyperlink" Target="https://hindernisfreie-architektur.ch/fachinformation/tueren-fenstertueren-und-durchgaenge-bei-oeffentlich-zugaenglichen-bauten/" TargetMode="External"/><Relationship Id="rId20" Type="http://schemas.openxmlformats.org/officeDocument/2006/relationships/hyperlink" Target="https://www.dormakaba.com/ch-de/angebot/produkte/automatische-tuersysteme/sensorschleusen/sensorschleuse-argus-v60--dk_33100" TargetMode="External"/><Relationship Id="rId21" Type="http://schemas.openxmlformats.org/officeDocument/2006/relationships/hyperlink" Target="https://www.wedatronic.com/de/produkte/sensorschleusen/slimlane.php" TargetMode="External"/><Relationship Id="rId22" Type="http://schemas.openxmlformats.org/officeDocument/2006/relationships/image" Target="media/image4.png"/><Relationship Id="rId23" Type="http://schemas.openxmlformats.org/officeDocument/2006/relationships/image" Target="media/image5.png"/><Relationship Id="rId24" Type="http://schemas.openxmlformats.org/officeDocument/2006/relationships/image" Target="media/image6.png"/><Relationship Id="rId25" Type="http://schemas.openxmlformats.org/officeDocument/2006/relationships/image" Target="media/image7.png"/><Relationship Id="rId26" Type="http://schemas.openxmlformats.org/officeDocument/2006/relationships/hyperlink" Target="https://zzpa.isipisi.tech/#medien" TargetMode="External"/><Relationship Id="rId27"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Vier Vorschläge für Ebene Eins Ausarbeitung</dc:title>
  <dc:subject>Vier Betriebsmodelle für Ebene Eins und die Ausstellungen</dc:subject>
  <dc:creator>Museum der Kulturen Basel · Arbeitsfassung für Thomas</dc:creator>
  <cp:keywords/>
  <dc:description>generated by python-docx</dc:description>
  <cp:lastModifiedBy/>
  <cp:revision>1</cp:revision>
  <dcterms:created xsi:type="dcterms:W3CDTF">2013-12-23T23:15:00Z</dcterms:created>
  <dcterms:modified xsi:type="dcterms:W3CDTF">2013-12-23T23:15:00Z</dcterms:modified>
  <cp:category/>
</cp:coreProperties>
</file>